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jc w:val="center"/>
        <w:textAlignment w:val="baseline"/>
        <w:rPr>
          <w:rStyle w:val="16"/>
          <w:rFonts w:ascii="微软雅黑" w:hAnsi="宋体" w:eastAsia="微软雅黑"/>
          <w:bCs/>
          <w:sz w:val="44"/>
          <w:szCs w:val="44"/>
        </w:rPr>
      </w:pPr>
      <w:bookmarkStart w:id="0" w:name="_GoBack"/>
      <w:bookmarkEnd w:id="0"/>
    </w:p>
    <w:p>
      <w:pPr>
        <w:spacing w:after="156"/>
        <w:jc w:val="center"/>
        <w:textAlignment w:val="baseline"/>
        <w:rPr>
          <w:rStyle w:val="16"/>
          <w:rFonts w:ascii="微软雅黑" w:hAnsi="宋体" w:eastAsia="微软雅黑"/>
          <w:bCs/>
          <w:sz w:val="44"/>
          <w:szCs w:val="44"/>
        </w:rPr>
      </w:pPr>
    </w:p>
    <w:p>
      <w:pPr>
        <w:spacing w:after="156" w:afterLines="50"/>
        <w:jc w:val="center"/>
        <w:textAlignment w:val="baseline"/>
        <w:rPr>
          <w:rStyle w:val="16"/>
          <w:rFonts w:hint="eastAsia" w:ascii="微软雅黑" w:hAnsi="宋体" w:eastAsia="微软雅黑" w:cs="宋体"/>
          <w:bCs/>
          <w:sz w:val="56"/>
          <w:szCs w:val="56"/>
        </w:rPr>
      </w:pPr>
      <w:r>
        <w:rPr>
          <w:rStyle w:val="16"/>
          <w:rFonts w:hint="eastAsia" w:ascii="微软雅黑" w:hAnsi="宋体" w:eastAsia="微软雅黑" w:cs="宋体"/>
          <w:bCs/>
          <w:sz w:val="56"/>
          <w:szCs w:val="56"/>
        </w:rPr>
        <w:t>学位授权点建设年度报告</w:t>
      </w:r>
    </w:p>
    <w:p>
      <w:pPr>
        <w:spacing w:after="156"/>
        <w:jc w:val="center"/>
        <w:textAlignment w:val="baseline"/>
        <w:rPr>
          <w:rStyle w:val="16"/>
          <w:rFonts w:ascii="仿宋" w:hAnsi="仿宋" w:eastAsia="仿宋" w:cs="仿宋"/>
          <w:b/>
          <w:sz w:val="44"/>
          <w:szCs w:val="44"/>
        </w:rPr>
      </w:pPr>
    </w:p>
    <w:p>
      <w:pPr>
        <w:spacing w:after="0"/>
        <w:jc w:val="both"/>
        <w:textAlignment w:val="auto"/>
        <w:rPr>
          <w:rStyle w:val="12"/>
          <w:rFonts w:hint="eastAsia"/>
        </w:rPr>
      </w:pPr>
    </w:p>
    <w:p>
      <w:pPr>
        <w:pStyle w:val="2"/>
        <w:rPr>
          <w:rStyle w:val="12"/>
        </w:rPr>
      </w:pPr>
    </w:p>
    <w:tbl>
      <w:tblPr>
        <w:tblStyle w:val="10"/>
        <w:tblpPr w:leftFromText="180" w:rightFromText="180" w:vertAnchor="text" w:horzAnchor="page" w:tblpX="3035" w:tblpY="532"/>
        <w:tblOverlap w:val="never"/>
        <w:tblW w:w="6151" w:type="dxa"/>
        <w:jc w:val="center"/>
        <w:tblLayout w:type="fixed"/>
        <w:tblCellMar>
          <w:top w:w="0" w:type="dxa"/>
          <w:left w:w="28" w:type="dxa"/>
          <w:bottom w:w="0" w:type="dxa"/>
          <w:right w:w="28" w:type="dxa"/>
        </w:tblCellMar>
      </w:tblPr>
      <w:tblGrid>
        <w:gridCol w:w="2115"/>
        <w:gridCol w:w="4036"/>
      </w:tblGrid>
      <w:tr>
        <w:tblPrEx>
          <w:tblCellMar>
            <w:top w:w="0" w:type="dxa"/>
            <w:left w:w="28" w:type="dxa"/>
            <w:bottom w:w="0" w:type="dxa"/>
            <w:right w:w="28" w:type="dxa"/>
          </w:tblCellMar>
        </w:tblPrEx>
        <w:trPr>
          <w:jc w:val="center"/>
        </w:trPr>
        <w:tc>
          <w:tcPr>
            <w:tcW w:w="2115" w:type="dxa"/>
            <w:vMerge w:val="restart"/>
            <w:vAlign w:val="center"/>
          </w:tcPr>
          <w:p>
            <w:pPr>
              <w:rPr>
                <w:rFonts w:eastAsia="仿宋_GB2312"/>
                <w:b/>
                <w:bCs/>
                <w:sz w:val="28"/>
              </w:rPr>
            </w:pPr>
            <w:r>
              <w:rPr>
                <w:rFonts w:hint="eastAsia" w:eastAsia="仿宋_GB2312"/>
                <w:b/>
                <w:bCs/>
                <w:spacing w:val="16"/>
                <w:kern w:val="0"/>
                <w:sz w:val="28"/>
              </w:rPr>
              <w:t>学位授予单位</w:t>
            </w:r>
            <w:r>
              <w:rPr>
                <w:rFonts w:eastAsia="仿宋_GB2312"/>
                <w:b/>
                <w:bCs/>
                <w:spacing w:val="4"/>
                <w:kern w:val="0"/>
                <w:sz w:val="28"/>
              </w:rPr>
              <w:t xml:space="preserve"> </w:t>
            </w:r>
          </w:p>
        </w:tc>
        <w:tc>
          <w:tcPr>
            <w:tcW w:w="4036" w:type="dxa"/>
          </w:tcPr>
          <w:p>
            <w:pPr>
              <w:rPr>
                <w:rFonts w:eastAsia="仿宋_GB2312"/>
                <w:b/>
                <w:bCs/>
                <w:sz w:val="28"/>
              </w:rPr>
            </w:pPr>
            <w:r>
              <w:rPr>
                <w:rFonts w:hint="eastAsia" w:eastAsia="仿宋_GB2312"/>
                <w:b/>
                <w:bCs/>
                <w:sz w:val="28"/>
              </w:rPr>
              <w:t>名称</w:t>
            </w:r>
            <w:r>
              <w:rPr>
                <w:rFonts w:eastAsia="仿宋_GB2312"/>
                <w:b/>
                <w:bCs/>
                <w:sz w:val="28"/>
              </w:rPr>
              <w:t>:</w:t>
            </w:r>
            <w:r>
              <w:rPr>
                <w:rFonts w:hint="eastAsia" w:eastAsia="仿宋_GB2312"/>
                <w:b/>
                <w:bCs/>
                <w:sz w:val="28"/>
              </w:rPr>
              <w:t>河北大学</w:t>
            </w:r>
          </w:p>
        </w:tc>
      </w:tr>
      <w:tr>
        <w:tblPrEx>
          <w:tblCellMar>
            <w:top w:w="0" w:type="dxa"/>
            <w:left w:w="28" w:type="dxa"/>
            <w:bottom w:w="0" w:type="dxa"/>
            <w:right w:w="28" w:type="dxa"/>
          </w:tblCellMar>
        </w:tblPrEx>
        <w:trPr>
          <w:trHeight w:val="538" w:hRule="atLeast"/>
          <w:jc w:val="center"/>
        </w:trPr>
        <w:tc>
          <w:tcPr>
            <w:tcW w:w="2115" w:type="dxa"/>
            <w:vMerge w:val="continue"/>
            <w:vAlign w:val="center"/>
          </w:tcPr>
          <w:p>
            <w:pPr>
              <w:widowControl/>
              <w:jc w:val="left"/>
              <w:rPr>
                <w:rFonts w:eastAsia="仿宋_GB2312"/>
                <w:b/>
                <w:bCs/>
                <w:sz w:val="28"/>
              </w:rPr>
            </w:pPr>
          </w:p>
        </w:tc>
        <w:tc>
          <w:tcPr>
            <w:tcW w:w="4036" w:type="dxa"/>
            <w:vAlign w:val="center"/>
          </w:tcPr>
          <w:p>
            <w:pPr>
              <w:adjustRightInd w:val="0"/>
              <w:snapToGrid w:val="0"/>
              <w:rPr>
                <w:rFonts w:eastAsia="仿宋_GB2312"/>
                <w:b/>
                <w:bCs/>
                <w:sz w:val="28"/>
              </w:rPr>
            </w:pP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p>
        </w:tc>
      </w:tr>
      <w:tr>
        <w:tblPrEx>
          <w:tblCellMar>
            <w:top w:w="0" w:type="dxa"/>
            <w:left w:w="28" w:type="dxa"/>
            <w:bottom w:w="0" w:type="dxa"/>
            <w:right w:w="28" w:type="dxa"/>
          </w:tblCellMar>
        </w:tblPrEx>
        <w:trPr>
          <w:jc w:val="center"/>
        </w:trPr>
        <w:tc>
          <w:tcPr>
            <w:tcW w:w="2115" w:type="dxa"/>
            <w:vMerge w:val="continue"/>
            <w:vAlign w:val="center"/>
          </w:tcPr>
          <w:p>
            <w:pPr>
              <w:widowControl/>
              <w:jc w:val="left"/>
              <w:rPr>
                <w:rFonts w:eastAsia="仿宋_GB2312"/>
                <w:b/>
                <w:bCs/>
                <w:sz w:val="28"/>
              </w:rPr>
            </w:pPr>
          </w:p>
        </w:tc>
        <w:tc>
          <w:tcPr>
            <w:tcW w:w="4036" w:type="dxa"/>
          </w:tcPr>
          <w:p>
            <w:pPr>
              <w:rPr>
                <w:rFonts w:eastAsia="仿宋_GB2312"/>
                <w:b/>
                <w:bCs/>
                <w:sz w:val="28"/>
              </w:rPr>
            </w:pPr>
            <w:r>
              <w:rPr>
                <w:rFonts w:hint="eastAsia" w:eastAsia="仿宋_GB2312"/>
                <w:b/>
                <w:bCs/>
                <w:sz w:val="28"/>
              </w:rPr>
              <w:t>代码</w:t>
            </w:r>
            <w:r>
              <w:rPr>
                <w:rFonts w:eastAsia="仿宋_GB2312"/>
                <w:b/>
                <w:bCs/>
                <w:sz w:val="28"/>
              </w:rPr>
              <w:t>:</w:t>
            </w:r>
            <w:r>
              <w:rPr>
                <w:rFonts w:hint="eastAsia" w:eastAsia="仿宋_GB2312"/>
                <w:b/>
                <w:bCs/>
                <w:sz w:val="28"/>
              </w:rPr>
              <w:t>10075</w:t>
            </w:r>
          </w:p>
        </w:tc>
      </w:tr>
      <w:tr>
        <w:tblPrEx>
          <w:tblCellMar>
            <w:top w:w="0" w:type="dxa"/>
            <w:left w:w="28" w:type="dxa"/>
            <w:bottom w:w="0" w:type="dxa"/>
            <w:right w:w="28" w:type="dxa"/>
          </w:tblCellMar>
        </w:tblPrEx>
        <w:trPr>
          <w:trHeight w:val="894" w:hRule="atLeast"/>
          <w:jc w:val="center"/>
        </w:trPr>
        <w:tc>
          <w:tcPr>
            <w:tcW w:w="2115" w:type="dxa"/>
            <w:vAlign w:val="center"/>
          </w:tcPr>
          <w:p>
            <w:pPr>
              <w:widowControl/>
              <w:jc w:val="left"/>
              <w:rPr>
                <w:rFonts w:eastAsia="仿宋_GB2312"/>
                <w:b/>
                <w:bCs/>
                <w:sz w:val="28"/>
              </w:rPr>
            </w:pPr>
          </w:p>
        </w:tc>
        <w:tc>
          <w:tcPr>
            <w:tcW w:w="4036" w:type="dxa"/>
          </w:tcPr>
          <w:p>
            <w:pPr>
              <w:rPr>
                <w:rFonts w:eastAsia="仿宋_GB2312"/>
                <w:b/>
                <w:bCs/>
                <w:sz w:val="28"/>
              </w:rPr>
            </w:pPr>
          </w:p>
        </w:tc>
      </w:tr>
      <w:tr>
        <w:tblPrEx>
          <w:tblCellMar>
            <w:top w:w="0" w:type="dxa"/>
            <w:left w:w="28" w:type="dxa"/>
            <w:bottom w:w="0" w:type="dxa"/>
            <w:right w:w="28" w:type="dxa"/>
          </w:tblCellMar>
        </w:tblPrEx>
        <w:trPr>
          <w:trHeight w:val="549" w:hRule="atLeast"/>
          <w:jc w:val="center"/>
        </w:trPr>
        <w:tc>
          <w:tcPr>
            <w:tcW w:w="2115" w:type="dxa"/>
            <w:vMerge w:val="restart"/>
            <w:vAlign w:val="center"/>
          </w:tcPr>
          <w:p>
            <w:pPr>
              <w:widowControl/>
              <w:jc w:val="center"/>
              <w:rPr>
                <w:rFonts w:eastAsia="仿宋_GB2312"/>
                <w:b/>
                <w:bCs/>
                <w:w w:val="96"/>
                <w:kern w:val="0"/>
                <w:sz w:val="28"/>
              </w:rPr>
            </w:pPr>
            <w:r>
              <w:rPr>
                <w:rFonts w:hint="eastAsia" w:eastAsia="仿宋_GB2312"/>
                <w:b/>
                <w:bCs/>
                <w:spacing w:val="41"/>
                <w:kern w:val="0"/>
                <w:sz w:val="28"/>
              </w:rPr>
              <w:t>一级学</w:t>
            </w:r>
            <w:r>
              <w:rPr>
                <w:rFonts w:hint="eastAsia" w:eastAsia="仿宋_GB2312"/>
                <w:b/>
                <w:bCs/>
                <w:kern w:val="0"/>
                <w:sz w:val="28"/>
              </w:rPr>
              <w:t>科</w:t>
            </w:r>
            <w:r>
              <w:rPr>
                <w:rFonts w:hint="eastAsia" w:eastAsia="仿宋_GB2312"/>
                <w:b/>
                <w:bCs/>
                <w:w w:val="96"/>
                <w:kern w:val="0"/>
                <w:sz w:val="28"/>
              </w:rPr>
              <w:t>或</w:t>
            </w:r>
          </w:p>
          <w:p>
            <w:pPr>
              <w:widowControl/>
              <w:jc w:val="center"/>
              <w:rPr>
                <w:rFonts w:eastAsia="仿宋_GB2312"/>
                <w:b/>
                <w:bCs/>
                <w:sz w:val="28"/>
              </w:rPr>
            </w:pPr>
            <w:r>
              <w:rPr>
                <w:rFonts w:hint="eastAsia" w:eastAsia="仿宋_GB2312"/>
                <w:b/>
                <w:bCs/>
                <w:w w:val="96"/>
                <w:kern w:val="0"/>
                <w:sz w:val="28"/>
              </w:rPr>
              <w:t>专业学位类别</w:t>
            </w:r>
          </w:p>
        </w:tc>
        <w:tc>
          <w:tcPr>
            <w:tcW w:w="4036" w:type="dxa"/>
          </w:tcPr>
          <w:p>
            <w:pPr>
              <w:rPr>
                <w:rFonts w:eastAsia="仿宋_GB2312"/>
                <w:b/>
                <w:bCs/>
                <w:sz w:val="28"/>
              </w:rPr>
            </w:pPr>
            <w:r>
              <w:rPr>
                <w:rFonts w:hint="eastAsia" w:eastAsia="仿宋_GB2312"/>
                <w:b/>
                <w:bCs/>
                <w:sz w:val="28"/>
              </w:rPr>
              <w:t>名称</w:t>
            </w:r>
            <w:r>
              <w:rPr>
                <w:rFonts w:eastAsia="仿宋_GB2312"/>
                <w:b/>
                <w:bCs/>
                <w:sz w:val="28"/>
              </w:rPr>
              <w:t>:</w:t>
            </w:r>
            <w:r>
              <w:rPr>
                <w:rFonts w:hint="eastAsia" w:eastAsia="仿宋_GB2312"/>
                <w:b/>
                <w:bCs/>
                <w:sz w:val="28"/>
              </w:rPr>
              <w:t>保险</w:t>
            </w:r>
          </w:p>
        </w:tc>
      </w:tr>
      <w:tr>
        <w:tblPrEx>
          <w:tblCellMar>
            <w:top w:w="0" w:type="dxa"/>
            <w:left w:w="28" w:type="dxa"/>
            <w:bottom w:w="0" w:type="dxa"/>
            <w:right w:w="28" w:type="dxa"/>
          </w:tblCellMar>
        </w:tblPrEx>
        <w:trPr>
          <w:trHeight w:val="384" w:hRule="atLeast"/>
          <w:jc w:val="center"/>
        </w:trPr>
        <w:tc>
          <w:tcPr>
            <w:tcW w:w="2115" w:type="dxa"/>
            <w:vMerge w:val="continue"/>
          </w:tcPr>
          <w:p>
            <w:pPr>
              <w:widowControl/>
              <w:jc w:val="left"/>
              <w:rPr>
                <w:rFonts w:eastAsia="仿宋_GB2312"/>
                <w:b/>
                <w:bCs/>
                <w:sz w:val="28"/>
              </w:rPr>
            </w:pPr>
          </w:p>
        </w:tc>
        <w:tc>
          <w:tcPr>
            <w:tcW w:w="4036" w:type="dxa"/>
          </w:tcPr>
          <w:p>
            <w:pPr>
              <w:rPr>
                <w:rFonts w:eastAsia="仿宋_GB2312"/>
                <w:b/>
                <w:bCs/>
                <w:sz w:val="28"/>
              </w:rPr>
            </w:pP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r>
              <w:rPr>
                <w:rFonts w:eastAsia="仿宋_GB2312"/>
                <w:b/>
                <w:bCs/>
                <w:sz w:val="28"/>
              </w:rPr>
              <w:sym w:font="Symbol" w:char="00BE"/>
            </w:r>
          </w:p>
        </w:tc>
      </w:tr>
      <w:tr>
        <w:tblPrEx>
          <w:tblCellMar>
            <w:top w:w="0" w:type="dxa"/>
            <w:left w:w="28" w:type="dxa"/>
            <w:bottom w:w="0" w:type="dxa"/>
            <w:right w:w="28" w:type="dxa"/>
          </w:tblCellMar>
        </w:tblPrEx>
        <w:trPr>
          <w:jc w:val="center"/>
        </w:trPr>
        <w:tc>
          <w:tcPr>
            <w:tcW w:w="2115" w:type="dxa"/>
            <w:vMerge w:val="continue"/>
          </w:tcPr>
          <w:p>
            <w:pPr>
              <w:widowControl/>
              <w:jc w:val="left"/>
              <w:rPr>
                <w:rFonts w:eastAsia="仿宋_GB2312"/>
                <w:b/>
                <w:bCs/>
                <w:sz w:val="28"/>
              </w:rPr>
            </w:pPr>
          </w:p>
        </w:tc>
        <w:tc>
          <w:tcPr>
            <w:tcW w:w="4036" w:type="dxa"/>
          </w:tcPr>
          <w:p>
            <w:pPr>
              <w:rPr>
                <w:rFonts w:eastAsia="仿宋_GB2312"/>
                <w:b/>
                <w:bCs/>
                <w:sz w:val="28"/>
              </w:rPr>
            </w:pPr>
            <w:r>
              <w:rPr>
                <w:rFonts w:hint="eastAsia" w:eastAsia="仿宋_GB2312"/>
                <w:b/>
                <w:bCs/>
                <w:sz w:val="28"/>
              </w:rPr>
              <w:t>代码</w:t>
            </w:r>
            <w:r>
              <w:rPr>
                <w:rFonts w:eastAsia="仿宋_GB2312"/>
                <w:b/>
                <w:bCs/>
                <w:sz w:val="28"/>
              </w:rPr>
              <w:t>:</w:t>
            </w:r>
            <w:r>
              <w:rPr>
                <w:rFonts w:hint="eastAsia" w:eastAsia="仿宋_GB2312"/>
                <w:b/>
                <w:bCs/>
                <w:sz w:val="28"/>
              </w:rPr>
              <w:t>0255</w:t>
            </w:r>
          </w:p>
        </w:tc>
      </w:tr>
      <w:tr>
        <w:tblPrEx>
          <w:tblCellMar>
            <w:top w:w="0" w:type="dxa"/>
            <w:left w:w="28" w:type="dxa"/>
            <w:bottom w:w="0" w:type="dxa"/>
            <w:right w:w="28" w:type="dxa"/>
          </w:tblCellMar>
        </w:tblPrEx>
        <w:trPr>
          <w:jc w:val="center"/>
        </w:trPr>
        <w:tc>
          <w:tcPr>
            <w:tcW w:w="6151" w:type="dxa"/>
            <w:gridSpan w:val="2"/>
            <w:vAlign w:val="center"/>
          </w:tcPr>
          <w:p>
            <w:pPr>
              <w:ind w:firstLine="281" w:firstLineChars="100"/>
              <w:jc w:val="center"/>
              <w:rPr>
                <w:rFonts w:hint="eastAsia" w:eastAsia="仿宋_GB2312"/>
                <w:b/>
                <w:bCs/>
                <w:kern w:val="0"/>
                <w:sz w:val="28"/>
              </w:rPr>
            </w:pPr>
          </w:p>
          <w:p>
            <w:pPr>
              <w:pStyle w:val="2"/>
              <w:rPr>
                <w:rFonts w:hint="eastAsia"/>
              </w:rPr>
            </w:pPr>
          </w:p>
          <w:p>
            <w:pPr>
              <w:ind w:firstLine="0" w:firstLineChars="0"/>
              <w:jc w:val="both"/>
              <w:rPr>
                <w:rFonts w:hint="eastAsia"/>
              </w:rPr>
            </w:pPr>
          </w:p>
          <w:p>
            <w:pPr>
              <w:pStyle w:val="2"/>
              <w:rPr>
                <w:rFonts w:eastAsia="仿宋_GB2312"/>
                <w:bCs/>
                <w:kern w:val="0"/>
                <w:sz w:val="28"/>
              </w:rPr>
            </w:pPr>
          </w:p>
          <w:p>
            <w:pPr>
              <w:ind w:firstLine="281" w:firstLineChars="100"/>
              <w:jc w:val="center"/>
              <w:rPr>
                <w:rFonts w:eastAsia="仿宋_GB2312"/>
                <w:b/>
                <w:bCs/>
                <w:sz w:val="28"/>
              </w:rPr>
            </w:pPr>
            <w:r>
              <w:rPr>
                <w:rFonts w:hint="eastAsia" w:eastAsia="仿宋_GB2312"/>
                <w:b/>
                <w:bCs/>
                <w:kern w:val="0"/>
                <w:sz w:val="28"/>
              </w:rPr>
              <w:t>2023 年 3 月 30 日</w:t>
            </w:r>
          </w:p>
        </w:tc>
      </w:tr>
    </w:tbl>
    <w:p>
      <w:pPr>
        <w:snapToGrid w:val="0"/>
        <w:jc w:val="center"/>
        <w:textAlignment w:val="baseline"/>
        <w:rPr>
          <w:rStyle w:val="16"/>
          <w:rFonts w:ascii="Times New Roman" w:hAnsi="Times New Roman" w:eastAsia="宋体"/>
          <w:b/>
          <w:sz w:val="48"/>
          <w:szCs w:val="20"/>
        </w:rPr>
        <w:sectPr>
          <w:footerReference r:id="rId3" w:type="default"/>
          <w:pgSz w:w="11906" w:h="16838"/>
          <w:pgMar w:top="1440" w:right="1418" w:bottom="1440" w:left="1418" w:header="851" w:footer="992" w:gutter="0"/>
          <w:pgNumType w:start="1"/>
          <w:cols w:space="425" w:num="1"/>
          <w:docGrid w:type="lines" w:linePitch="312" w:charSpace="0"/>
        </w:sectPr>
      </w:pPr>
    </w:p>
    <w:p>
      <w:pPr>
        <w:pStyle w:val="21"/>
        <w:spacing w:after="0" w:line="560" w:lineRule="exact"/>
        <w:ind w:firstLine="880" w:firstLineChars="200"/>
        <w:rPr>
          <w:rFonts w:hint="eastAsia" w:ascii="微软雅黑" w:hAnsi="仿宋" w:eastAsia="微软雅黑"/>
          <w:sz w:val="44"/>
          <w:szCs w:val="44"/>
        </w:rPr>
      </w:pPr>
      <w:r>
        <w:rPr>
          <w:rFonts w:hint="eastAsia" w:ascii="微软雅黑" w:hAnsi="仿宋" w:eastAsia="微软雅黑"/>
          <w:sz w:val="44"/>
          <w:szCs w:val="44"/>
          <w:lang w:val="en-US"/>
        </w:rPr>
        <w:t>保险硕士专业</w:t>
      </w:r>
      <w:r>
        <w:rPr>
          <w:rFonts w:hint="eastAsia" w:ascii="微软雅黑" w:hAnsi="仿宋" w:eastAsia="微软雅黑"/>
          <w:sz w:val="44"/>
          <w:szCs w:val="44"/>
        </w:rPr>
        <w:t>学位授权点建设年度报告</w:t>
      </w:r>
    </w:p>
    <w:p>
      <w:pPr>
        <w:spacing w:line="560" w:lineRule="exact"/>
        <w:jc w:val="center"/>
        <w:rPr>
          <w:rFonts w:ascii="仿宋" w:hAnsi="仿宋" w:eastAsia="仿宋"/>
          <w:szCs w:val="32"/>
        </w:rPr>
      </w:pPr>
    </w:p>
    <w:p>
      <w:pPr>
        <w:spacing w:line="560" w:lineRule="exact"/>
        <w:ind w:firstLine="566" w:firstLineChars="177"/>
        <w:rPr>
          <w:rFonts w:ascii="黑体" w:hAnsi="黑体" w:eastAsia="黑体" w:cs="黑体"/>
          <w:szCs w:val="32"/>
        </w:rPr>
      </w:pPr>
      <w:r>
        <w:rPr>
          <w:rFonts w:hint="eastAsia" w:ascii="黑体" w:hAnsi="黑体" w:eastAsia="黑体" w:cs="黑体"/>
          <w:szCs w:val="32"/>
        </w:rPr>
        <w:t>一、学位授权点基本情况</w:t>
      </w:r>
    </w:p>
    <w:p>
      <w:pPr>
        <w:spacing w:line="56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（一）培养目标和专业方向</w:t>
      </w:r>
    </w:p>
    <w:p>
      <w:pPr>
        <w:spacing w:line="560" w:lineRule="exact"/>
        <w:ind w:firstLine="640" w:firstLineChars="200"/>
        <w:rPr>
          <w:rFonts w:ascii="仿宋" w:hAnsi="仿宋" w:eastAsia="仿宋" w:cs="宋体"/>
          <w:color w:val="000000"/>
          <w:sz w:val="32"/>
          <w:szCs w:val="32"/>
        </w:rPr>
      </w:pPr>
      <w:r>
        <w:rPr>
          <w:rFonts w:hint="eastAsia" w:ascii="仿宋" w:hAnsi="仿宋" w:eastAsia="仿宋" w:cs="宋体"/>
          <w:color w:val="000000"/>
          <w:sz w:val="32"/>
          <w:szCs w:val="32"/>
        </w:rPr>
        <w:t>河北大学保险硕士专业学位授权点于2010年获批、2011年开始招生，属于全国较早、河北省首批开展保险硕士专业学位研究生培养的学校。</w:t>
      </w:r>
    </w:p>
    <w:p>
      <w:pPr>
        <w:spacing w:line="560" w:lineRule="exact"/>
        <w:ind w:firstLine="640" w:firstLineChars="200"/>
        <w:rPr>
          <w:rFonts w:ascii="仿宋" w:hAnsi="仿宋" w:eastAsia="仿宋" w:cs="宋体"/>
          <w:sz w:val="32"/>
          <w:szCs w:val="32"/>
        </w:rPr>
      </w:pPr>
      <w:r>
        <w:rPr>
          <w:rFonts w:hint="eastAsia" w:ascii="仿宋" w:hAnsi="仿宋" w:eastAsia="仿宋" w:cs="宋体"/>
          <w:color w:val="000000"/>
          <w:sz w:val="32"/>
          <w:szCs w:val="32"/>
        </w:rPr>
        <w:t>以国家对保险硕士专业学位教育的总体目标和要求为原则，立足中国保险业改革与发展实际需求，并结合我校学科特征，将人才培养目标定位于服务京津冀协同、雄安新区建设和地方区域经济发展，突出综合性大学的宽基础、交叉性特点，面向各类保险公司、保险监管机构、社会保障机构和其他金融机构，培养具备良好的政治思想素质和职业道德，掌握扎实的经济学、金融学基础知识和保险学专业知识，具有从事风险管理、保险产品设计与业务支持、保险精算、保险财务管理和保险运营管理能力的高层次、应用型、复合型保险专门人才。</w:t>
      </w:r>
    </w:p>
    <w:p>
      <w:pPr>
        <w:spacing w:line="560" w:lineRule="exact"/>
        <w:ind w:firstLine="640" w:firstLineChars="200"/>
        <w:rPr>
          <w:rFonts w:ascii="仿宋" w:hAnsi="仿宋" w:eastAsia="仿宋" w:cs="宋体"/>
          <w:color w:val="000000"/>
          <w:sz w:val="32"/>
          <w:szCs w:val="32"/>
        </w:rPr>
      </w:pPr>
      <w:r>
        <w:rPr>
          <w:rFonts w:hint="eastAsia" w:ascii="仿宋" w:hAnsi="仿宋" w:eastAsia="仿宋" w:cs="宋体"/>
          <w:color w:val="000000"/>
          <w:sz w:val="32"/>
          <w:szCs w:val="32"/>
        </w:rPr>
        <w:t>设立以下研究方向：保险监管与政策法规、保险公司经营与治理、风险管理与保险。</w:t>
      </w:r>
    </w:p>
    <w:p>
      <w:pPr>
        <w:spacing w:line="56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1.保险监管与政策法规</w:t>
      </w:r>
    </w:p>
    <w:p>
      <w:pPr>
        <w:spacing w:line="560" w:lineRule="exact"/>
        <w:ind w:firstLine="640" w:firstLineChars="200"/>
        <w:jc w:val="left"/>
        <w:rPr>
          <w:rFonts w:ascii="仿宋" w:hAnsi="仿宋" w:eastAsia="仿宋" w:cs="宋体"/>
          <w:color w:val="000000"/>
          <w:sz w:val="32"/>
          <w:szCs w:val="32"/>
        </w:rPr>
      </w:pPr>
      <w:r>
        <w:rPr>
          <w:rFonts w:hint="eastAsia" w:ascii="仿宋" w:hAnsi="仿宋" w:eastAsia="仿宋" w:cs="宋体"/>
          <w:color w:val="000000"/>
          <w:sz w:val="32"/>
          <w:szCs w:val="32"/>
        </w:rPr>
        <w:t>主要研究银保监会监管体系，重点是偿付能力监管、市场行为监管和公司治理结构监管以及对于相关监管文件政策实施效果的研究等。</w:t>
      </w:r>
    </w:p>
    <w:p>
      <w:pPr>
        <w:spacing w:line="56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2.保险公司经营与治理</w:t>
      </w:r>
    </w:p>
    <w:p>
      <w:pPr>
        <w:spacing w:line="560" w:lineRule="exact"/>
        <w:ind w:firstLine="640" w:firstLineChars="200"/>
        <w:rPr>
          <w:rFonts w:ascii="仿宋" w:hAnsi="仿宋" w:eastAsia="仿宋" w:cs="宋体"/>
          <w:color w:val="000000"/>
          <w:sz w:val="32"/>
          <w:szCs w:val="32"/>
        </w:rPr>
      </w:pPr>
      <w:r>
        <w:rPr>
          <w:rFonts w:hint="eastAsia" w:ascii="仿宋" w:hAnsi="仿宋" w:eastAsia="仿宋" w:cs="宋体"/>
          <w:color w:val="000000"/>
          <w:sz w:val="32"/>
          <w:szCs w:val="32"/>
        </w:rPr>
        <w:t>主要研究保险公司经营的商业模式、保险公司经营的各个业务和管理模块、保险公司治理结构和内部控制机制等</w:t>
      </w:r>
    </w:p>
    <w:p>
      <w:pPr>
        <w:spacing w:line="56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3.风险管理与保险方向</w:t>
      </w:r>
    </w:p>
    <w:p>
      <w:pPr>
        <w:spacing w:line="560" w:lineRule="exact"/>
        <w:ind w:firstLine="640" w:firstLineChars="200"/>
        <w:rPr>
          <w:rFonts w:ascii="仿宋" w:hAnsi="仿宋" w:eastAsia="仿宋" w:cs="宋体"/>
          <w:color w:val="000000"/>
          <w:sz w:val="32"/>
          <w:szCs w:val="32"/>
        </w:rPr>
      </w:pPr>
      <w:r>
        <w:rPr>
          <w:rFonts w:hint="eastAsia" w:ascii="仿宋" w:hAnsi="仿宋" w:eastAsia="仿宋" w:cs="宋体"/>
          <w:color w:val="000000"/>
          <w:sz w:val="32"/>
          <w:szCs w:val="32"/>
        </w:rPr>
        <w:t>主要研究保险公司经营风险和风险管理制度以及保险业系统性风险等。</w:t>
      </w:r>
    </w:p>
    <w:p>
      <w:pPr>
        <w:spacing w:line="56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（二）师资队伍</w:t>
      </w:r>
    </w:p>
    <w:p>
      <w:pPr>
        <w:widowControl/>
        <w:spacing w:line="560" w:lineRule="exact"/>
        <w:ind w:firstLine="560"/>
        <w:jc w:val="left"/>
        <w:rPr>
          <w:rFonts w:ascii="仿宋" w:hAnsi="仿宋" w:eastAsia="仿宋" w:cs="宋体"/>
          <w:sz w:val="32"/>
          <w:szCs w:val="32"/>
        </w:rPr>
      </w:pPr>
      <w:r>
        <w:rPr>
          <w:rFonts w:hint="eastAsia" w:ascii="仿宋" w:hAnsi="仿宋" w:eastAsia="仿宋" w:cs="宋体"/>
          <w:sz w:val="32"/>
          <w:szCs w:val="32"/>
        </w:rPr>
        <w:t>2022年学位授权点现有专任教师18人，其中教授6人，副教授9人，讲师3人，高级职称占比为83%。其中，具有博士学位的教师16人，最高学位非本单位人数15人，占具有博士学位教师的94%,主要毕业于中国人民大学、南开大学、北京师范大学、西南财经大学、河北工业大学、河北大学。年龄结构合理，46-55岁5人，36-45岁10人，26-35岁3人。校内导师人数10人，博导人数2人，具有良好的学缘结构，科研能力突出；校外行业指导教师32人中，均参与本专业培养工作，与本专业招生规模较匹配。</w:t>
      </w:r>
      <w:r>
        <w:rPr>
          <w:rFonts w:hint="eastAsia" w:ascii="仿宋" w:hAnsi="仿宋" w:eastAsia="仿宋" w:cs="宋体"/>
          <w:color w:val="000000"/>
          <w:sz w:val="32"/>
          <w:szCs w:val="32"/>
        </w:rPr>
        <w:t>保险专业教师具有丰富的教学经验与深厚的科研积淀，教师拥有省级优秀教学团队、河北大学教学名师、保定市师德先进个人等荣誉称号。</w:t>
      </w:r>
    </w:p>
    <w:p>
      <w:pPr>
        <w:pStyle w:val="2"/>
        <w:numPr>
          <w:ilvl w:val="0"/>
          <w:numId w:val="1"/>
        </w:numPr>
        <w:spacing w:line="560" w:lineRule="exact"/>
        <w:ind w:firstLine="643"/>
        <w:rPr>
          <w:rFonts w:ascii="仿宋" w:hAnsi="仿宋" w:eastAsia="仿宋" w:cs="宋体"/>
          <w:b/>
          <w:bCs/>
          <w:sz w:val="32"/>
          <w:szCs w:val="32"/>
        </w:rPr>
      </w:pPr>
      <w:r>
        <w:rPr>
          <w:rFonts w:hint="eastAsia" w:ascii="仿宋" w:hAnsi="仿宋" w:eastAsia="仿宋" w:cs="宋体"/>
          <w:b/>
          <w:bCs/>
          <w:sz w:val="32"/>
          <w:szCs w:val="32"/>
        </w:rPr>
        <w:t>培养环境</w:t>
      </w:r>
    </w:p>
    <w:p>
      <w:pPr>
        <w:spacing w:line="56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1.协作共享的基层组织</w:t>
      </w:r>
    </w:p>
    <w:p>
      <w:pPr>
        <w:spacing w:line="560" w:lineRule="exact"/>
        <w:ind w:firstLine="640" w:firstLineChars="200"/>
        <w:rPr>
          <w:rFonts w:ascii="仿宋" w:hAnsi="仿宋" w:eastAsia="仿宋" w:cs="宋体"/>
          <w:color w:val="000000"/>
          <w:sz w:val="32"/>
          <w:szCs w:val="32"/>
        </w:rPr>
      </w:pPr>
      <w:r>
        <w:rPr>
          <w:rFonts w:hint="eastAsia" w:ascii="仿宋" w:hAnsi="仿宋" w:eastAsia="仿宋" w:cs="宋体"/>
          <w:color w:val="000000"/>
          <w:sz w:val="32"/>
          <w:szCs w:val="32"/>
        </w:rPr>
        <w:t>目前建有金融学、投资学、保险学、河北省省域保险专业4个教研室和金融学、国际金融2个课程组，并设立河北大学金融研究中心、房地产金融研究中心以及河北大学投资与证券研究所，以团队为单元推进教学经验和教学信息沟通与交流，建立了教研室、课程组和教研团队之间的共享协作机制。同时2021年成立了河北省域高校保险专业虚拟教研室，搭建了高校之间的师资共享平台。坚持立德树人的根本任务，健全师德师风建设长效机制。</w:t>
      </w:r>
    </w:p>
    <w:p>
      <w:pPr>
        <w:spacing w:line="56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2.丰富的实践教学资源</w:t>
      </w:r>
    </w:p>
    <w:p>
      <w:pPr>
        <w:spacing w:line="560" w:lineRule="exact"/>
        <w:ind w:firstLine="640" w:firstLineChars="200"/>
        <w:rPr>
          <w:rFonts w:ascii="仿宋" w:hAnsi="仿宋" w:eastAsia="仿宋" w:cs="宋体"/>
          <w:color w:val="000000"/>
          <w:sz w:val="32"/>
          <w:szCs w:val="32"/>
        </w:rPr>
      </w:pPr>
      <w:r>
        <w:rPr>
          <w:rFonts w:hint="eastAsia" w:ascii="仿宋" w:hAnsi="仿宋" w:eastAsia="仿宋" w:cs="宋体"/>
          <w:color w:val="000000"/>
          <w:sz w:val="32"/>
          <w:szCs w:val="32"/>
        </w:rPr>
        <w:t>学位授权点拥有“财达证券”省级示范性专业学位研究生培养实践基地以及18个银行、保险校级实践和协同育人基地。拥有现代化金融实验室与金融研究中心，配置Wind数据库，Stata、Eviews、Matlab、R等数据处理软件，理论与实践教学相结合，为教学科研活动提供了有力支撑，为培养应用型的保险人才提供了硬件条件。</w:t>
      </w:r>
    </w:p>
    <w:p>
      <w:pPr>
        <w:spacing w:line="560" w:lineRule="exact"/>
        <w:ind w:firstLine="640" w:firstLineChars="200"/>
        <w:rPr>
          <w:rFonts w:ascii="仿宋" w:hAnsi="仿宋" w:eastAsia="仿宋" w:cs="宋体"/>
          <w:color w:val="000000"/>
          <w:sz w:val="32"/>
          <w:szCs w:val="32"/>
        </w:rPr>
      </w:pPr>
      <w:r>
        <w:rPr>
          <w:rFonts w:hint="eastAsia" w:ascii="仿宋" w:hAnsi="仿宋" w:eastAsia="仿宋" w:cs="宋体"/>
          <w:color w:val="000000"/>
          <w:sz w:val="32"/>
          <w:szCs w:val="32"/>
        </w:rPr>
        <w:t>同时以校外实践基地为依托，通过校外导师指导、提供实习机会等多种方式保障培养质量，并于2017年成立了“行业专家实践指导委员会”，通过定期讲座和毕业论文选题筛选制度来提升培养质量。</w:t>
      </w:r>
    </w:p>
    <w:p>
      <w:pPr>
        <w:pStyle w:val="2"/>
        <w:spacing w:line="560" w:lineRule="exact"/>
        <w:ind w:firstLine="643"/>
        <w:rPr>
          <w:rFonts w:ascii="仿宋" w:hAnsi="仿宋" w:eastAsia="仿宋" w:cs="宋体"/>
          <w:b/>
          <w:bCs/>
          <w:sz w:val="32"/>
          <w:szCs w:val="32"/>
        </w:rPr>
      </w:pPr>
      <w:r>
        <w:rPr>
          <w:rFonts w:hint="eastAsia" w:ascii="仿宋" w:hAnsi="仿宋" w:eastAsia="仿宋" w:cs="宋体"/>
          <w:b/>
          <w:bCs/>
          <w:sz w:val="32"/>
          <w:szCs w:val="32"/>
        </w:rPr>
        <w:t>（四）立足河北、服务京津的人才培养特色</w:t>
      </w:r>
    </w:p>
    <w:p>
      <w:pPr>
        <w:pStyle w:val="2"/>
        <w:spacing w:line="560" w:lineRule="exact"/>
        <w:ind w:firstLine="640"/>
        <w:rPr>
          <w:rFonts w:ascii="仿宋" w:hAnsi="仿宋" w:eastAsia="仿宋" w:cs="宋体"/>
          <w:sz w:val="32"/>
          <w:szCs w:val="32"/>
        </w:rPr>
      </w:pPr>
      <w:r>
        <w:rPr>
          <w:rFonts w:hint="eastAsia" w:ascii="仿宋" w:hAnsi="仿宋" w:eastAsia="仿宋" w:cs="宋体"/>
          <w:sz w:val="32"/>
          <w:szCs w:val="32"/>
        </w:rPr>
        <w:t>本学位授权点坚持立足服务地方区域经济发展、京津冀协同和雄安新区建设。截至2022年，已经招收了12届研究生，115人，毕业92人，毕业生大多从事保险、银行、证券等金融类行业，大多在省级分支机构及以上工作岗位，获得了业界的高度认可，体现了我校保险专业硕士较高的专业素质和应用性特色。2016-2022年毕业生就业结构为：保险行业29人（41%），银行业17人（24%），证券业2人（3%），金融业合计68%。毕业生就业区域集中在河北（29人）、北京（12人）和天津（7人），合计占比81.6%。而且自2016级-2020级，持续有学生攻读博士学位，共计7人，考取的学校分别是南开大学、中南财经政法大学、中共中央党校（国家行政学院）、江南大学、河北大学，体现了本学位授权点对于科研能力的培养。</w:t>
      </w:r>
    </w:p>
    <w:p>
      <w:pPr>
        <w:spacing w:line="560" w:lineRule="exact"/>
        <w:ind w:firstLine="566" w:firstLineChars="177"/>
        <w:rPr>
          <w:rFonts w:ascii="黑体" w:hAnsi="黑体" w:eastAsia="黑体" w:cs="黑体"/>
          <w:szCs w:val="32"/>
        </w:rPr>
      </w:pPr>
      <w:r>
        <w:rPr>
          <w:rFonts w:hint="eastAsia" w:ascii="黑体" w:hAnsi="黑体" w:eastAsia="黑体" w:cs="黑体"/>
          <w:szCs w:val="32"/>
        </w:rPr>
        <w:t>二、学位授权点年度建设情况</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2020年底，教育部组织进行了全国专业学位水平评估，对2016年初到2020年底5年间的专业学位建设情况进行梳理，本学位点积极准备，如实上传各项建设信息，秉承学校“以评促建”指导思想，针对2020年保险专业学位评估中出现的不足，2021年开始谋划调整，2022年虽然受疫情冲击，依然坚持学位授权点高水平建设思路，持续推进，主要建设体现在以下方面：</w:t>
      </w:r>
    </w:p>
    <w:p>
      <w:pPr>
        <w:spacing w:line="56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1.培养目标与学位标准建设</w:t>
      </w:r>
    </w:p>
    <w:p>
      <w:pPr>
        <w:spacing w:line="56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1.1培养目标建设</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本专业确立的培养目标是：以习近平中国特色社会主义理论为指导，以国家对保险硕士专业学位教育的总体目标和要求为原则，立足中国保险业改革与发展实际需求，并结合我校学科特征，将人才培养目标定位于服务京津冀协同、雄安新区建设和地方区域经济发展，突出综合性大学的宽基础、交叉性特点，面向各类保险公司、保险监管机构、社会保障机构和其他金融机构，培养具备良好的政治思想素质和职业道德，掌握扎实的经济学、风险管理与保险业务基础和金融学基础知识，具有从事风险管理、保险产品设计、保险财务管理和保险运营管理、保险监管的高层次、应用型、复合型的保险专门人才。</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2022年培养目标建设工作主要是持续培养目标特色的凝练。评估过程中，深刻感到培养特色的不突出，在满足行业需求，服务京津冀协同、雄安新区建设和地方区域经济发展中有待提升。疫情冲击下，2021年毕业生大多选择了非金融和非保险专业，集中在公务员，反映了突发事件下，应对不足的情况。通过师资培训和挂职、横向课题、校外导师聘任等多个方面来强化培养特色。师资培训借助校内教师的学缘结构，充分利用北京和天津的优势专业和行业资源。挂职工作以河北为主，辐射京津。与河北省保险学会持续开展多项委托课题研究，同时积极服务保险机构产品创新。校外导师聘任以京津冀地区的行业专家为主，以省级分支机构为主，持续提升总公司层面的校外导师比重。</w:t>
      </w:r>
    </w:p>
    <w:p>
      <w:pPr>
        <w:spacing w:line="56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2.2学位标准实施</w:t>
      </w:r>
    </w:p>
    <w:p>
      <w:pPr>
        <w:pStyle w:val="2"/>
        <w:spacing w:line="560" w:lineRule="exact"/>
        <w:ind w:firstLine="640"/>
        <w:rPr>
          <w:rFonts w:ascii="仿宋" w:hAnsi="仿宋" w:eastAsia="仿宋" w:cs="宋体"/>
          <w:sz w:val="32"/>
          <w:szCs w:val="32"/>
        </w:rPr>
      </w:pPr>
      <w:r>
        <w:rPr>
          <w:rFonts w:hint="eastAsia" w:ascii="仿宋" w:hAnsi="仿宋" w:eastAsia="仿宋" w:cs="宋体"/>
          <w:sz w:val="32"/>
          <w:szCs w:val="32"/>
        </w:rPr>
        <w:t>继续执行2021年修订后的培养方案，根据《博士硕士学位基本要求》以及《全国保险专业学位研究生教育指导委员会的人才培养要求》，结合本学校的实际情况，课程学习实行学分制，本学位类别最低修读学分为32分，其中学位课15学分，非学位课17学分。修满规定学分、完成专业实习并通过论文答辩者，经学位授予单位学位评定委员会审核，授予保险硕士专业学位，同时获得硕士研究生毕业证书。</w:t>
      </w:r>
    </w:p>
    <w:p>
      <w:pPr>
        <w:pStyle w:val="2"/>
        <w:spacing w:line="560" w:lineRule="exact"/>
        <w:ind w:firstLine="643"/>
        <w:rPr>
          <w:rFonts w:ascii="仿宋" w:hAnsi="仿宋" w:eastAsia="仿宋" w:cs="宋体"/>
          <w:b/>
          <w:bCs/>
          <w:sz w:val="32"/>
          <w:szCs w:val="32"/>
        </w:rPr>
      </w:pPr>
      <w:r>
        <w:rPr>
          <w:rFonts w:hint="eastAsia" w:ascii="仿宋" w:hAnsi="仿宋" w:eastAsia="仿宋" w:cs="宋体"/>
          <w:b/>
          <w:bCs/>
          <w:sz w:val="32"/>
          <w:szCs w:val="32"/>
        </w:rPr>
        <w:t>2.基本条件建设</w:t>
      </w:r>
    </w:p>
    <w:p>
      <w:pPr>
        <w:pStyle w:val="2"/>
        <w:spacing w:line="560" w:lineRule="exact"/>
        <w:ind w:firstLine="643"/>
        <w:rPr>
          <w:rFonts w:ascii="仿宋" w:hAnsi="仿宋" w:eastAsia="仿宋" w:cs="宋体"/>
          <w:b/>
          <w:bCs/>
          <w:sz w:val="32"/>
          <w:szCs w:val="32"/>
        </w:rPr>
      </w:pPr>
      <w:r>
        <w:rPr>
          <w:rFonts w:hint="eastAsia" w:ascii="仿宋" w:hAnsi="仿宋" w:eastAsia="仿宋" w:cs="宋体"/>
          <w:b/>
          <w:bCs/>
          <w:sz w:val="32"/>
          <w:szCs w:val="32"/>
        </w:rPr>
        <w:t>2.1师资队伍建设</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一是加大师资引进力度和培养力度</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2022年度通过公开选聘，引进西南财经大学优秀金融学博士1名加入师资队伍，进一步促进师资队伍的年轻化，学科交叉更强，学缘结构更合理。同时2022年，1名教师赴清华大学进行访学，提升高端科研能力和水平。</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二是持续提升师资队伍的行业属性</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专硕的师资队伍需要极强的行业属性，目前本专业任课教师中仅有少数教师具有银行业、证券业挂职经历。但是专任教师中，保险行业正式挂职经历的较少，主要通过多种方式自主参与很多保险机构的培训、课题、调研、产品开发工作。2022年度，继续安排两位老师赴燕赵财险总公司挂职，由于疫情的原因，没有成行，通过线上的方式，于挂职单位保持着密切的联系。2022年行业师资的选聘中，考虑总公司层面导师的战略视野、行业宽度等，加大总公司层面校外导师的选聘，经过学院和学校审核，新增一名校外导师谢雨轩，工作单位为中原农险总公司，负责产品设计与开发。</w:t>
      </w:r>
    </w:p>
    <w:p>
      <w:pPr>
        <w:pStyle w:val="2"/>
        <w:spacing w:line="560" w:lineRule="exact"/>
        <w:ind w:firstLine="643"/>
        <w:jc w:val="left"/>
        <w:rPr>
          <w:rFonts w:ascii="仿宋" w:hAnsi="仿宋" w:eastAsia="仿宋" w:cs="宋体"/>
          <w:b/>
          <w:bCs/>
          <w:sz w:val="32"/>
          <w:szCs w:val="32"/>
        </w:rPr>
      </w:pPr>
      <w:r>
        <w:rPr>
          <w:rFonts w:hint="eastAsia" w:ascii="仿宋" w:hAnsi="仿宋" w:eastAsia="仿宋" w:cs="宋体"/>
          <w:b/>
          <w:bCs/>
          <w:sz w:val="32"/>
          <w:szCs w:val="32"/>
        </w:rPr>
        <w:t>三是校外师资进课堂</w:t>
      </w:r>
    </w:p>
    <w:p>
      <w:pPr>
        <w:pStyle w:val="2"/>
        <w:spacing w:line="560" w:lineRule="exact"/>
        <w:ind w:firstLine="640"/>
        <w:jc w:val="left"/>
        <w:rPr>
          <w:rFonts w:ascii="仿宋" w:hAnsi="仿宋" w:eastAsia="仿宋" w:cs="宋体"/>
          <w:sz w:val="32"/>
          <w:szCs w:val="32"/>
        </w:rPr>
      </w:pPr>
      <w:r>
        <w:rPr>
          <w:rFonts w:hint="eastAsia" w:ascii="仿宋" w:hAnsi="仿宋" w:eastAsia="仿宋" w:cs="宋体"/>
          <w:sz w:val="32"/>
          <w:szCs w:val="32"/>
        </w:rPr>
        <w:t>学位授权点2022年持续邀请行业资深高管开设证券投资行业专家专题和固定收益证券两门专业实践课程，拓展了实践教学的内容和形式。并分别要求燕赵财险车险负责人和明亚保险经纪明星销售经理进入保险企业经营管理课堂，通过线上分享实践经验。</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四是通过虚拟教研室建设，丰富师资队伍</w:t>
      </w:r>
    </w:p>
    <w:p>
      <w:pPr>
        <w:spacing w:line="560" w:lineRule="exact"/>
        <w:ind w:firstLine="640" w:firstLineChars="200"/>
        <w:rPr>
          <w:rFonts w:hint="eastAsia" w:ascii="仿宋" w:hAnsi="仿宋" w:eastAsia="仿宋" w:cs="宋体"/>
          <w:szCs w:val="32"/>
        </w:rPr>
      </w:pPr>
      <w:r>
        <w:rPr>
          <w:rFonts w:hint="eastAsia" w:ascii="仿宋" w:hAnsi="仿宋" w:eastAsia="仿宋" w:cs="宋体"/>
          <w:sz w:val="32"/>
          <w:szCs w:val="32"/>
        </w:rPr>
        <w:t>2021年“河北省域高校保险专业教研室”成立后，持续开展了线上教学资源的共享。并于2022年6月24日召开了2022年度会议，确定了“教学沙龙”研讨制度、师资共享制度，并在保险数理课程中，借助河北金融学院的精算师资，进行了线上师资的共享。</w:t>
      </w:r>
    </w:p>
    <w:p>
      <w:pPr>
        <w:pStyle w:val="2"/>
        <w:rPr>
          <w:rFonts w:hint="eastAsia"/>
        </w:rPr>
      </w:pPr>
    </w:p>
    <w:p>
      <w:pPr>
        <w:spacing w:line="240" w:lineRule="auto"/>
        <w:ind w:firstLine="0" w:firstLineChars="0"/>
        <w:rPr>
          <w:rFonts w:hint="eastAsia"/>
        </w:rPr>
      </w:pPr>
    </w:p>
    <w:p>
      <w:pPr>
        <w:pStyle w:val="2"/>
        <w:rPr>
          <w:rFonts w:hint="eastAsia"/>
        </w:rPr>
      </w:pPr>
    </w:p>
    <w:p>
      <w:pPr>
        <w:spacing w:line="240" w:lineRule="auto"/>
        <w:ind w:firstLine="0" w:firstLineChars="0"/>
        <w:rPr>
          <w:rFonts w:ascii="Calibri" w:hAnsi="Calibri" w:eastAsia="方正仿宋简体" w:cs="Times New Roman"/>
          <w:sz w:val="32"/>
        </w:rPr>
      </w:pP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2.2科学研究情况</w:t>
      </w:r>
    </w:p>
    <w:p>
      <w:pPr>
        <w:pStyle w:val="4"/>
        <w:keepNext/>
        <w:spacing w:line="560" w:lineRule="exact"/>
        <w:jc w:val="center"/>
        <w:rPr>
          <w:rFonts w:ascii="仿宋" w:hAnsi="仿宋" w:eastAsia="仿宋" w:cs="宋体"/>
          <w:b/>
          <w:color w:val="000000"/>
          <w:sz w:val="28"/>
          <w:szCs w:val="28"/>
        </w:rPr>
      </w:pPr>
      <w:r>
        <w:rPr>
          <w:rFonts w:hint="eastAsia" w:ascii="仿宋" w:hAnsi="仿宋" w:eastAsia="仿宋" w:cs="宋体"/>
          <w:b/>
          <w:color w:val="000000"/>
          <w:sz w:val="28"/>
          <w:szCs w:val="28"/>
        </w:rPr>
        <w:t>表1</w:t>
      </w:r>
      <w:r>
        <w:rPr>
          <w:rFonts w:hint="eastAsia" w:ascii="仿宋" w:hAnsi="仿宋" w:eastAsia="仿宋" w:cs="宋体"/>
          <w:b/>
          <w:color w:val="000000"/>
          <w:sz w:val="28"/>
          <w:szCs w:val="28"/>
        </w:rPr>
        <w:t xml:space="preserve"> </w:t>
      </w:r>
      <w:r>
        <w:rPr>
          <w:rFonts w:hint="eastAsia" w:ascii="仿宋" w:hAnsi="仿宋" w:eastAsia="仿宋" w:cs="宋体"/>
          <w:b/>
          <w:color w:val="FF0000"/>
          <w:sz w:val="28"/>
          <w:szCs w:val="28"/>
        </w:rPr>
        <w:t xml:space="preserve"> </w:t>
      </w:r>
      <w:r>
        <w:rPr>
          <w:rFonts w:hint="eastAsia" w:ascii="仿宋" w:hAnsi="仿宋" w:eastAsia="仿宋" w:cs="宋体"/>
          <w:b/>
          <w:color w:val="000000"/>
          <w:sz w:val="28"/>
          <w:szCs w:val="28"/>
        </w:rPr>
        <w:t>2022年科研项目一览表</w:t>
      </w:r>
    </w:p>
    <w:tbl>
      <w:tblPr>
        <w:tblStyle w:val="10"/>
        <w:tblW w:w="51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1223"/>
        <w:gridCol w:w="4020"/>
        <w:gridCol w:w="1307"/>
        <w:gridCol w:w="1125"/>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404" w:type="pct"/>
            <w:vAlign w:val="center"/>
          </w:tcPr>
          <w:p>
            <w:pPr>
              <w:spacing w:line="312" w:lineRule="auto"/>
              <w:jc w:val="center"/>
              <w:rPr>
                <w:rFonts w:ascii="Times New Roman" w:hAnsi="Times New Roman" w:eastAsia="宋体"/>
                <w:bCs/>
                <w:color w:val="000000"/>
                <w:sz w:val="21"/>
                <w:szCs w:val="21"/>
              </w:rPr>
            </w:pPr>
            <w:r>
              <w:rPr>
                <w:rFonts w:hint="default" w:ascii="Times New Roman" w:hAnsi="Times New Roman" w:eastAsia="宋体"/>
                <w:bCs/>
                <w:color w:val="000000"/>
                <w:sz w:val="21"/>
                <w:szCs w:val="21"/>
              </w:rPr>
              <w:t>序号</w:t>
            </w:r>
          </w:p>
        </w:tc>
        <w:tc>
          <w:tcPr>
            <w:tcW w:w="644"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主持人</w:t>
            </w:r>
          </w:p>
        </w:tc>
        <w:tc>
          <w:tcPr>
            <w:tcW w:w="2116"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项目名称</w:t>
            </w:r>
          </w:p>
        </w:tc>
        <w:tc>
          <w:tcPr>
            <w:tcW w:w="68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项目来源</w:t>
            </w:r>
          </w:p>
        </w:tc>
        <w:tc>
          <w:tcPr>
            <w:tcW w:w="592"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批准时间</w:t>
            </w:r>
          </w:p>
        </w:tc>
        <w:tc>
          <w:tcPr>
            <w:tcW w:w="556"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404" w:type="pct"/>
            <w:vAlign w:val="center"/>
          </w:tcPr>
          <w:p>
            <w:pPr>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1</w:t>
            </w:r>
          </w:p>
        </w:tc>
        <w:tc>
          <w:tcPr>
            <w:tcW w:w="644"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王培辉</w:t>
            </w:r>
          </w:p>
        </w:tc>
        <w:tc>
          <w:tcPr>
            <w:tcW w:w="2116"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202</w:t>
            </w:r>
            <w:r>
              <w:rPr>
                <w:rFonts w:ascii="Times New Roman" w:hAnsi="Times New Roman" w:eastAsia="宋体"/>
                <w:color w:val="000000"/>
                <w:sz w:val="21"/>
                <w:szCs w:val="21"/>
              </w:rPr>
              <w:t>2</w:t>
            </w:r>
            <w:r>
              <w:rPr>
                <w:rFonts w:hint="default" w:ascii="Times New Roman" w:hAnsi="Times New Roman" w:eastAsia="宋体"/>
                <w:color w:val="000000"/>
                <w:sz w:val="21"/>
                <w:szCs w:val="21"/>
              </w:rPr>
              <w:t>年国家社科基金项目-疫情冲击下应急金融政策效果评估与退出机制研究</w:t>
            </w:r>
          </w:p>
        </w:tc>
        <w:tc>
          <w:tcPr>
            <w:tcW w:w="688"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国家哲社办公室</w:t>
            </w:r>
          </w:p>
        </w:tc>
        <w:tc>
          <w:tcPr>
            <w:tcW w:w="592"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2</w:t>
            </w:r>
            <w:r>
              <w:rPr>
                <w:rFonts w:ascii="Times New Roman" w:hAnsi="Times New Roman" w:eastAsia="宋体"/>
                <w:color w:val="000000"/>
                <w:sz w:val="21"/>
                <w:szCs w:val="21"/>
              </w:rPr>
              <w:t>022</w:t>
            </w:r>
          </w:p>
        </w:tc>
        <w:tc>
          <w:tcPr>
            <w:tcW w:w="556"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国家级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404" w:type="pct"/>
            <w:vAlign w:val="center"/>
          </w:tcPr>
          <w:p>
            <w:pPr>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2</w:t>
            </w:r>
          </w:p>
        </w:tc>
        <w:tc>
          <w:tcPr>
            <w:tcW w:w="644"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杨胜利</w:t>
            </w:r>
          </w:p>
        </w:tc>
        <w:tc>
          <w:tcPr>
            <w:tcW w:w="2116" w:type="pct"/>
            <w:vAlign w:val="center"/>
          </w:tcPr>
          <w:p>
            <w:pPr>
              <w:widowControl/>
              <w:spacing w:line="312" w:lineRule="auto"/>
              <w:jc w:val="left"/>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2022年全国统计科学研究项目-城乡融合发展视角下县级区域内人口变动趋势与公共服务均等化研究</w:t>
            </w:r>
          </w:p>
        </w:tc>
        <w:tc>
          <w:tcPr>
            <w:tcW w:w="688"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国家统计局</w:t>
            </w:r>
          </w:p>
        </w:tc>
        <w:tc>
          <w:tcPr>
            <w:tcW w:w="592"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2022</w:t>
            </w:r>
          </w:p>
        </w:tc>
        <w:tc>
          <w:tcPr>
            <w:tcW w:w="556"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404" w:type="pct"/>
            <w:vAlign w:val="center"/>
          </w:tcPr>
          <w:p>
            <w:pPr>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3</w:t>
            </w:r>
          </w:p>
        </w:tc>
        <w:tc>
          <w:tcPr>
            <w:tcW w:w="644"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杨胜利</w:t>
            </w:r>
          </w:p>
        </w:tc>
        <w:tc>
          <w:tcPr>
            <w:tcW w:w="2116" w:type="pct"/>
            <w:vAlign w:val="center"/>
          </w:tcPr>
          <w:p>
            <w:pPr>
              <w:widowControl/>
              <w:spacing w:line="312" w:lineRule="auto"/>
              <w:jc w:val="left"/>
              <w:textAlignment w:val="center"/>
              <w:rPr>
                <w:rFonts w:ascii="Times New Roman" w:hAnsi="Times New Roman" w:eastAsia="宋体" w:cs="Times New Roman"/>
                <w:color w:val="000000"/>
                <w:sz w:val="21"/>
                <w:szCs w:val="21"/>
              </w:rPr>
            </w:pPr>
            <w:r>
              <w:rPr>
                <w:rFonts w:ascii="Times New Roman" w:hAnsi="Times New Roman" w:eastAsia="宋体"/>
                <w:color w:val="000000"/>
                <w:sz w:val="21"/>
                <w:szCs w:val="21"/>
              </w:rPr>
              <w:t>2022年</w:t>
            </w:r>
            <w:r>
              <w:rPr>
                <w:rFonts w:hint="default" w:ascii="Times New Roman" w:hAnsi="Times New Roman" w:eastAsia="宋体"/>
                <w:color w:val="000000"/>
                <w:sz w:val="21"/>
                <w:szCs w:val="21"/>
              </w:rPr>
              <w:t>河北省</w:t>
            </w:r>
            <w:r>
              <w:rPr>
                <w:rFonts w:ascii="Times New Roman" w:hAnsi="Times New Roman" w:eastAsia="宋体"/>
                <w:color w:val="000000"/>
                <w:sz w:val="21"/>
                <w:szCs w:val="21"/>
              </w:rPr>
              <w:t>社科基金项目</w:t>
            </w:r>
            <w:r>
              <w:rPr>
                <w:rFonts w:hint="default" w:ascii="Times New Roman" w:hAnsi="Times New Roman" w:eastAsia="宋体"/>
                <w:color w:val="000000"/>
                <w:sz w:val="21"/>
                <w:szCs w:val="21"/>
              </w:rPr>
              <w:t>-</w:t>
            </w:r>
            <w:r>
              <w:rPr>
                <w:rFonts w:hint="default" w:ascii="Times New Roman" w:hAnsi="Times New Roman" w:eastAsia="宋体" w:cs="Times New Roman"/>
                <w:color w:val="000000"/>
                <w:kern w:val="0"/>
                <w:sz w:val="21"/>
                <w:szCs w:val="21"/>
                <w:lang w:bidi="ar"/>
              </w:rPr>
              <w:t>河北省城镇化高质量发展中流动人口职业健康风险评估与保障机制研究</w:t>
            </w:r>
          </w:p>
        </w:tc>
        <w:tc>
          <w:tcPr>
            <w:tcW w:w="688"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河北省哲社办公室</w:t>
            </w:r>
          </w:p>
        </w:tc>
        <w:tc>
          <w:tcPr>
            <w:tcW w:w="592"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2</w:t>
            </w:r>
            <w:r>
              <w:rPr>
                <w:rFonts w:ascii="Times New Roman" w:hAnsi="Times New Roman" w:eastAsia="宋体"/>
                <w:color w:val="000000"/>
                <w:sz w:val="21"/>
                <w:szCs w:val="21"/>
              </w:rPr>
              <w:t>022</w:t>
            </w:r>
          </w:p>
        </w:tc>
        <w:tc>
          <w:tcPr>
            <w:tcW w:w="556"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404" w:type="pct"/>
            <w:vAlign w:val="center"/>
          </w:tcPr>
          <w:p>
            <w:pPr>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4</w:t>
            </w:r>
          </w:p>
        </w:tc>
        <w:tc>
          <w:tcPr>
            <w:tcW w:w="644"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王薇</w:t>
            </w:r>
          </w:p>
        </w:tc>
        <w:tc>
          <w:tcPr>
            <w:tcW w:w="2116" w:type="pct"/>
            <w:vAlign w:val="center"/>
          </w:tcPr>
          <w:p>
            <w:pPr>
              <w:widowControl/>
              <w:spacing w:line="312" w:lineRule="auto"/>
              <w:jc w:val="center"/>
              <w:rPr>
                <w:rFonts w:ascii="Times New Roman" w:hAnsi="Times New Roman" w:eastAsia="宋体"/>
                <w:color w:val="000000"/>
                <w:sz w:val="21"/>
                <w:szCs w:val="21"/>
              </w:rPr>
            </w:pPr>
            <w:r>
              <w:rPr>
                <w:rFonts w:ascii="Times New Roman" w:hAnsi="Times New Roman" w:eastAsia="宋体"/>
                <w:color w:val="000000"/>
                <w:sz w:val="21"/>
                <w:szCs w:val="21"/>
              </w:rPr>
              <w:t>2022年</w:t>
            </w:r>
            <w:r>
              <w:rPr>
                <w:rFonts w:hint="default" w:ascii="Times New Roman" w:hAnsi="Times New Roman" w:eastAsia="宋体"/>
                <w:color w:val="000000"/>
                <w:sz w:val="21"/>
                <w:szCs w:val="21"/>
              </w:rPr>
              <w:t>河北省</w:t>
            </w:r>
            <w:r>
              <w:rPr>
                <w:rFonts w:ascii="Times New Roman" w:hAnsi="Times New Roman" w:eastAsia="宋体"/>
                <w:color w:val="000000"/>
                <w:sz w:val="21"/>
                <w:szCs w:val="21"/>
              </w:rPr>
              <w:t>社科基金项目</w:t>
            </w:r>
            <w:r>
              <w:rPr>
                <w:rFonts w:hint="default" w:ascii="Times New Roman" w:hAnsi="Times New Roman" w:eastAsia="宋体"/>
                <w:color w:val="000000"/>
                <w:sz w:val="21"/>
                <w:szCs w:val="21"/>
              </w:rPr>
              <w:t>-河北省县域特色产业集群高质量发展路径与政策支持研究</w:t>
            </w:r>
          </w:p>
        </w:tc>
        <w:tc>
          <w:tcPr>
            <w:tcW w:w="688"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河北省哲社办公室</w:t>
            </w:r>
          </w:p>
        </w:tc>
        <w:tc>
          <w:tcPr>
            <w:tcW w:w="592"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2</w:t>
            </w:r>
            <w:r>
              <w:rPr>
                <w:rFonts w:ascii="Times New Roman" w:hAnsi="Times New Roman" w:eastAsia="宋体"/>
                <w:color w:val="000000"/>
                <w:sz w:val="21"/>
                <w:szCs w:val="21"/>
              </w:rPr>
              <w:t>022</w:t>
            </w:r>
          </w:p>
        </w:tc>
        <w:tc>
          <w:tcPr>
            <w:tcW w:w="556"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404" w:type="pct"/>
            <w:vAlign w:val="center"/>
          </w:tcPr>
          <w:p>
            <w:pPr>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5</w:t>
            </w:r>
          </w:p>
        </w:tc>
        <w:tc>
          <w:tcPr>
            <w:tcW w:w="644"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周稳海</w:t>
            </w:r>
          </w:p>
        </w:tc>
        <w:tc>
          <w:tcPr>
            <w:tcW w:w="2116" w:type="pct"/>
            <w:vAlign w:val="center"/>
          </w:tcPr>
          <w:p>
            <w:pPr>
              <w:widowControl/>
              <w:spacing w:line="312" w:lineRule="auto"/>
              <w:jc w:val="center"/>
              <w:rPr>
                <w:rFonts w:ascii="Times New Roman" w:hAnsi="Times New Roman" w:eastAsia="宋体"/>
                <w:color w:val="000000"/>
                <w:sz w:val="21"/>
                <w:szCs w:val="21"/>
              </w:rPr>
            </w:pPr>
            <w:r>
              <w:rPr>
                <w:rFonts w:ascii="Times New Roman" w:hAnsi="Times New Roman" w:eastAsia="宋体"/>
                <w:color w:val="000000"/>
                <w:sz w:val="21"/>
                <w:szCs w:val="21"/>
              </w:rPr>
              <w:t>2022 年度河北省高等学校人文社会科学研究重点</w:t>
            </w:r>
            <w:r>
              <w:rPr>
                <w:rFonts w:hint="default" w:ascii="Times New Roman" w:hAnsi="Times New Roman" w:eastAsia="宋体"/>
                <w:color w:val="000000"/>
                <w:sz w:val="21"/>
                <w:szCs w:val="21"/>
              </w:rPr>
              <w:t>项目-绿色金融碳减排效应、机制与优化路径研究</w:t>
            </w:r>
          </w:p>
        </w:tc>
        <w:tc>
          <w:tcPr>
            <w:tcW w:w="688"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河北省教育厅</w:t>
            </w:r>
          </w:p>
        </w:tc>
        <w:tc>
          <w:tcPr>
            <w:tcW w:w="592"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2</w:t>
            </w:r>
            <w:r>
              <w:rPr>
                <w:rFonts w:ascii="Times New Roman" w:hAnsi="Times New Roman" w:eastAsia="宋体"/>
                <w:color w:val="000000"/>
                <w:sz w:val="21"/>
                <w:szCs w:val="21"/>
              </w:rPr>
              <w:t>022</w:t>
            </w:r>
          </w:p>
        </w:tc>
        <w:tc>
          <w:tcPr>
            <w:tcW w:w="556"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厅级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404" w:type="pct"/>
            <w:vAlign w:val="center"/>
          </w:tcPr>
          <w:p>
            <w:pPr>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6</w:t>
            </w:r>
          </w:p>
        </w:tc>
        <w:tc>
          <w:tcPr>
            <w:tcW w:w="644" w:type="pct"/>
            <w:vAlign w:val="center"/>
          </w:tcPr>
          <w:p>
            <w:pPr>
              <w:widowControl/>
              <w:spacing w:line="312" w:lineRule="auto"/>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杨茜</w:t>
            </w:r>
          </w:p>
        </w:tc>
        <w:tc>
          <w:tcPr>
            <w:tcW w:w="2116" w:type="pct"/>
            <w:vAlign w:val="center"/>
          </w:tcPr>
          <w:p>
            <w:pPr>
              <w:widowControl/>
              <w:spacing w:line="312" w:lineRule="auto"/>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2022年度河北省高等学校人文社会科学青年项目-延迟退休对河北省基本养老保险基金可持续性的影响研究</w:t>
            </w:r>
          </w:p>
        </w:tc>
        <w:tc>
          <w:tcPr>
            <w:tcW w:w="688"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河北省教育厅</w:t>
            </w:r>
          </w:p>
        </w:tc>
        <w:tc>
          <w:tcPr>
            <w:tcW w:w="592"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2</w:t>
            </w:r>
            <w:r>
              <w:rPr>
                <w:rFonts w:ascii="Times New Roman" w:hAnsi="Times New Roman" w:eastAsia="宋体"/>
                <w:color w:val="000000"/>
                <w:sz w:val="21"/>
                <w:szCs w:val="21"/>
              </w:rPr>
              <w:t>022</w:t>
            </w:r>
          </w:p>
        </w:tc>
        <w:tc>
          <w:tcPr>
            <w:tcW w:w="556" w:type="pct"/>
            <w:vAlign w:val="center"/>
          </w:tcPr>
          <w:p>
            <w:pPr>
              <w:widowControl/>
              <w:spacing w:line="312" w:lineRule="auto"/>
              <w:jc w:val="center"/>
              <w:rPr>
                <w:rFonts w:ascii="Times New Roman" w:hAnsi="Times New Roman" w:eastAsia="宋体"/>
                <w:color w:val="000000"/>
                <w:sz w:val="21"/>
                <w:szCs w:val="21"/>
              </w:rPr>
            </w:pPr>
            <w:r>
              <w:rPr>
                <w:rFonts w:hint="default" w:ascii="Times New Roman" w:hAnsi="Times New Roman" w:eastAsia="宋体"/>
                <w:color w:val="000000"/>
                <w:sz w:val="21"/>
                <w:szCs w:val="21"/>
              </w:rPr>
              <w:t>厅级</w:t>
            </w:r>
          </w:p>
        </w:tc>
      </w:tr>
    </w:tbl>
    <w:p>
      <w:pPr>
        <w:pStyle w:val="2"/>
        <w:spacing w:line="100" w:lineRule="exact"/>
        <w:ind w:firstLine="0" w:firstLineChars="0"/>
        <w:jc w:val="center"/>
        <w:rPr>
          <w:rFonts w:ascii="仿宋" w:hAnsi="仿宋" w:eastAsia="仿宋" w:cs="宋体"/>
          <w:sz w:val="32"/>
          <w:szCs w:val="32"/>
        </w:rPr>
      </w:pPr>
    </w:p>
    <w:p>
      <w:pPr>
        <w:pStyle w:val="4"/>
        <w:keepNext/>
        <w:spacing w:line="560" w:lineRule="exact"/>
        <w:jc w:val="center"/>
        <w:rPr>
          <w:rFonts w:ascii="仿宋" w:hAnsi="仿宋" w:eastAsia="仿宋" w:cs="宋体"/>
          <w:b/>
          <w:color w:val="000000"/>
          <w:sz w:val="28"/>
          <w:szCs w:val="28"/>
        </w:rPr>
      </w:pPr>
      <w:r>
        <w:rPr>
          <w:rFonts w:hint="eastAsia" w:ascii="仿宋" w:hAnsi="仿宋" w:eastAsia="仿宋" w:cs="宋体"/>
          <w:b/>
          <w:color w:val="000000"/>
          <w:sz w:val="28"/>
          <w:szCs w:val="28"/>
        </w:rPr>
        <w:t>表2</w:t>
      </w:r>
      <w:r>
        <w:rPr>
          <w:rFonts w:hint="eastAsia" w:ascii="仿宋" w:hAnsi="仿宋" w:eastAsia="仿宋" w:cs="宋体"/>
          <w:b/>
          <w:color w:val="000000"/>
          <w:sz w:val="28"/>
          <w:szCs w:val="28"/>
        </w:rPr>
        <w:t xml:space="preserve"> </w:t>
      </w:r>
      <w:r>
        <w:rPr>
          <w:rFonts w:hint="eastAsia" w:ascii="仿宋" w:hAnsi="仿宋" w:eastAsia="仿宋" w:cs="宋体"/>
          <w:b/>
          <w:color w:val="000000"/>
          <w:sz w:val="28"/>
          <w:szCs w:val="28"/>
        </w:rPr>
        <w:t xml:space="preserve"> 2022年学术论文和专著一览表</w:t>
      </w:r>
    </w:p>
    <w:tbl>
      <w:tblPr>
        <w:tblStyle w:val="10"/>
        <w:tblW w:w="51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924"/>
        <w:gridCol w:w="2782"/>
        <w:gridCol w:w="5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spacing w:line="312" w:lineRule="auto"/>
              <w:jc w:val="center"/>
              <w:rPr>
                <w:rFonts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序号</w:t>
            </w:r>
          </w:p>
        </w:tc>
        <w:tc>
          <w:tcPr>
            <w:tcW w:w="481" w:type="pct"/>
            <w:vAlign w:val="center"/>
          </w:tcPr>
          <w:p>
            <w:pPr>
              <w:spacing w:line="312" w:lineRule="auto"/>
              <w:jc w:val="center"/>
              <w:rPr>
                <w:rFonts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作者</w:t>
            </w:r>
          </w:p>
        </w:tc>
        <w:tc>
          <w:tcPr>
            <w:tcW w:w="1448" w:type="pct"/>
            <w:vAlign w:val="center"/>
          </w:tcPr>
          <w:p>
            <w:pPr>
              <w:spacing w:line="312" w:lineRule="auto"/>
              <w:jc w:val="center"/>
              <w:rPr>
                <w:rFonts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刊名、级别、出版时间</w:t>
            </w:r>
          </w:p>
        </w:tc>
        <w:tc>
          <w:tcPr>
            <w:tcW w:w="2688" w:type="pct"/>
            <w:vAlign w:val="center"/>
          </w:tcPr>
          <w:p>
            <w:pPr>
              <w:spacing w:line="312" w:lineRule="auto"/>
              <w:jc w:val="center"/>
              <w:rPr>
                <w:rFonts w:ascii="Times New Roman" w:hAnsi="Times New Roman" w:eastAsia="宋体" w:cs="Times New Roman"/>
                <w:b/>
                <w:color w:val="000000"/>
                <w:sz w:val="21"/>
                <w:szCs w:val="21"/>
              </w:rPr>
            </w:pPr>
            <w:r>
              <w:rPr>
                <w:rFonts w:hint="default" w:ascii="Times New Roman" w:hAnsi="Times New Roman" w:eastAsia="宋体" w:cs="Times New Roman"/>
                <w:b/>
                <w:color w:val="000000"/>
                <w:sz w:val="21"/>
                <w:szCs w:val="21"/>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w:t>
            </w:r>
          </w:p>
        </w:tc>
        <w:tc>
          <w:tcPr>
            <w:tcW w:w="481"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尚颖</w:t>
            </w:r>
          </w:p>
        </w:tc>
        <w:tc>
          <w:tcPr>
            <w:tcW w:w="144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保险研究（CSSCI）2022.02</w:t>
            </w:r>
          </w:p>
        </w:tc>
        <w:tc>
          <w:tcPr>
            <w:tcW w:w="268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保险业资产驱动型经营模式会助推系统性金融风险吗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w:t>
            </w:r>
          </w:p>
        </w:tc>
        <w:tc>
          <w:tcPr>
            <w:tcW w:w="481"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尚颖</w:t>
            </w:r>
          </w:p>
        </w:tc>
        <w:tc>
          <w:tcPr>
            <w:tcW w:w="144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会计之友（中文核心）2022.05</w:t>
            </w:r>
          </w:p>
        </w:tc>
        <w:tc>
          <w:tcPr>
            <w:tcW w:w="268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寿险公司资产驱动程度与经营风险的关系研究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3</w:t>
            </w:r>
          </w:p>
        </w:tc>
        <w:tc>
          <w:tcPr>
            <w:tcW w:w="481"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王培辉</w:t>
            </w:r>
          </w:p>
        </w:tc>
        <w:tc>
          <w:tcPr>
            <w:tcW w:w="144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武汉金融（中文核心期刊）2022.03</w:t>
            </w:r>
          </w:p>
        </w:tc>
        <w:tc>
          <w:tcPr>
            <w:tcW w:w="268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互联网使用提高了保险市场参与吗？——基于中国家庭金融调查的分析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4</w:t>
            </w:r>
          </w:p>
        </w:tc>
        <w:tc>
          <w:tcPr>
            <w:tcW w:w="481"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王薇</w:t>
            </w:r>
          </w:p>
        </w:tc>
        <w:tc>
          <w:tcPr>
            <w:tcW w:w="1448" w:type="pct"/>
            <w:vAlign w:val="center"/>
          </w:tcPr>
          <w:p>
            <w:pPr>
              <w:widowControl/>
              <w:spacing w:line="312" w:lineRule="auto"/>
              <w:ind w:left="840" w:hanging="840" w:hangingChars="400"/>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北京工商大学学报(社会科学版)（CSSCI）2022.02</w:t>
            </w:r>
          </w:p>
        </w:tc>
        <w:tc>
          <w:tcPr>
            <w:tcW w:w="268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市场竞争如何影响国有上市企业创新产出?场竞兼论“限薪令”的调节效应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5</w:t>
            </w:r>
          </w:p>
        </w:tc>
        <w:tc>
          <w:tcPr>
            <w:tcW w:w="481"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王薇</w:t>
            </w:r>
          </w:p>
        </w:tc>
        <w:tc>
          <w:tcPr>
            <w:tcW w:w="144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首都经济贸易大学学报（CSSCI扩展版）2022.07</w:t>
            </w:r>
          </w:p>
        </w:tc>
        <w:tc>
          <w:tcPr>
            <w:tcW w:w="268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并购能否提升企业环境绩效？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6</w:t>
            </w:r>
          </w:p>
        </w:tc>
        <w:tc>
          <w:tcPr>
            <w:tcW w:w="481"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周稳海</w:t>
            </w:r>
          </w:p>
        </w:tc>
        <w:tc>
          <w:tcPr>
            <w:tcW w:w="144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资源开发与市场（中文核心期刊）2022.05</w:t>
            </w:r>
          </w:p>
        </w:tc>
        <w:tc>
          <w:tcPr>
            <w:tcW w:w="268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住房价格泡沫时空分异及其驱动因素的实证研究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c>
          <w:tcPr>
            <w:tcW w:w="481"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周稳海</w:t>
            </w:r>
          </w:p>
        </w:tc>
        <w:tc>
          <w:tcPr>
            <w:tcW w:w="144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资源开发与市场（中文核心期刊）2022.02</w:t>
            </w:r>
          </w:p>
        </w:tc>
        <w:tc>
          <w:tcPr>
            <w:tcW w:w="268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中国征地新模式的逻辑、评估与保障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8</w:t>
            </w:r>
          </w:p>
        </w:tc>
        <w:tc>
          <w:tcPr>
            <w:tcW w:w="481"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杨茜</w:t>
            </w:r>
          </w:p>
        </w:tc>
        <w:tc>
          <w:tcPr>
            <w:tcW w:w="144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Frontiers in psychology(SSCI)2022.09</w:t>
            </w:r>
          </w:p>
        </w:tc>
        <w:tc>
          <w:tcPr>
            <w:tcW w:w="268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Personality traits, self-efficacy,and friendship establishment:Group characteristics and network clustering of college students' friendships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9</w:t>
            </w:r>
          </w:p>
        </w:tc>
        <w:tc>
          <w:tcPr>
            <w:tcW w:w="481"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杨胜利</w:t>
            </w:r>
          </w:p>
        </w:tc>
        <w:tc>
          <w:tcPr>
            <w:tcW w:w="144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Frontiers in psychology(SSCI)2022.01</w:t>
            </w:r>
          </w:p>
        </w:tc>
        <w:tc>
          <w:tcPr>
            <w:tcW w:w="268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The Role of Academic Resilience, Motivational Intensity and Their Relationship in EFL Learners' Academic Achievement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10</w:t>
            </w:r>
          </w:p>
        </w:tc>
        <w:tc>
          <w:tcPr>
            <w:tcW w:w="481"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杨胜利</w:t>
            </w:r>
          </w:p>
        </w:tc>
        <w:tc>
          <w:tcPr>
            <w:tcW w:w="144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河北大学学报（哲社版），核心，2022.07</w:t>
            </w:r>
          </w:p>
        </w:tc>
        <w:tc>
          <w:tcPr>
            <w:tcW w:w="268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社会保障对青年人养老观念的影响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11</w:t>
            </w:r>
          </w:p>
        </w:tc>
        <w:tc>
          <w:tcPr>
            <w:tcW w:w="481"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贾士彬</w:t>
            </w:r>
          </w:p>
        </w:tc>
        <w:tc>
          <w:tcPr>
            <w:tcW w:w="144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中国农业出版社2022.11</w:t>
            </w:r>
          </w:p>
        </w:tc>
        <w:tc>
          <w:tcPr>
            <w:tcW w:w="268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推进我国农业收入保险发展研究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12</w:t>
            </w:r>
          </w:p>
        </w:tc>
        <w:tc>
          <w:tcPr>
            <w:tcW w:w="481"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杨胜利</w:t>
            </w:r>
          </w:p>
        </w:tc>
        <w:tc>
          <w:tcPr>
            <w:tcW w:w="144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武汉大学出版社(一类出版社）2022.04</w:t>
            </w:r>
          </w:p>
        </w:tc>
        <w:tc>
          <w:tcPr>
            <w:tcW w:w="268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河北省科技人才发展环境研究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pPr>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13</w:t>
            </w:r>
          </w:p>
        </w:tc>
        <w:tc>
          <w:tcPr>
            <w:tcW w:w="481"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杨茜</w:t>
            </w:r>
          </w:p>
        </w:tc>
        <w:tc>
          <w:tcPr>
            <w:tcW w:w="144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社会科学文献出版社(一类出版社）2022.08</w:t>
            </w:r>
          </w:p>
        </w:tc>
        <w:tc>
          <w:tcPr>
            <w:tcW w:w="2688" w:type="pct"/>
            <w:vAlign w:val="center"/>
          </w:tcPr>
          <w:p>
            <w:pPr>
              <w:widowControl/>
              <w:spacing w:line="312" w:lineRule="auto"/>
              <w:jc w:val="center"/>
              <w:rPr>
                <w:rFonts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积极老龄化：人口健康与社会参与</w:t>
            </w:r>
          </w:p>
        </w:tc>
      </w:tr>
    </w:tbl>
    <w:p>
      <w:pPr>
        <w:pStyle w:val="2"/>
        <w:spacing w:line="560" w:lineRule="exact"/>
        <w:ind w:firstLine="643"/>
        <w:rPr>
          <w:rFonts w:ascii="仿宋" w:hAnsi="仿宋" w:eastAsia="仿宋" w:cs="宋体"/>
          <w:b/>
          <w:bCs/>
          <w:sz w:val="32"/>
          <w:szCs w:val="32"/>
        </w:rPr>
      </w:pPr>
      <w:r>
        <w:rPr>
          <w:rFonts w:hint="eastAsia" w:ascii="仿宋" w:hAnsi="仿宋" w:eastAsia="仿宋" w:cs="宋体"/>
          <w:b/>
          <w:bCs/>
          <w:sz w:val="32"/>
          <w:szCs w:val="32"/>
        </w:rPr>
        <w:t>2.3教学科研支撑情况</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本学位点有1个省级示范性专业学位研究生培养实践基地（财达证券）。2022年，与“燕赵财产保险股份有限公司”签订了实践基地合作协议。2022年与上海赋优信息技术有限公司、上海国际银行金融专修学院建立1个线上实习实践基地。继续发挥“金融研究中心”科研平台支撑作用，建有金融实验室，金融实验室中采购完成了保险精算软件、保险流程实验软件，能为研究生的学习与科研提供充足的空间和设备。学院购买了wind数据库，已经在金融实验室安装多套，供学生查找和下载数据。同时在金融实验室安装了正版Stata、Matlab等计量软件供学生使用。</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2.4奖助体系</w:t>
      </w:r>
    </w:p>
    <w:p>
      <w:pPr>
        <w:widowControl w:val="0"/>
        <w:spacing w:line="560" w:lineRule="exact"/>
        <w:ind w:firstLine="640" w:firstLineChars="200"/>
        <w:jc w:val="left"/>
        <w:rPr>
          <w:rFonts w:ascii="仿宋" w:hAnsi="仿宋" w:eastAsia="仿宋" w:cs="宋体"/>
          <w:sz w:val="32"/>
          <w:szCs w:val="32"/>
        </w:rPr>
      </w:pPr>
      <w:r>
        <w:rPr>
          <w:rFonts w:hint="eastAsia" w:ascii="仿宋" w:hAnsi="仿宋" w:eastAsia="仿宋" w:cs="宋体"/>
          <w:sz w:val="32"/>
          <w:szCs w:val="32"/>
        </w:rPr>
        <w:t>学校重视研究生奖助体系的制度建设，出台了《河北大学国家助学金发放办法》《河北大学学业奖学金评审办法》等管理办法和规定，建立了研究生国家奖学金、助学金、学业奖学金等各类型奖学金的奖助体系。</w:t>
      </w:r>
    </w:p>
    <w:p>
      <w:pPr>
        <w:widowControl/>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本专业按照本学院《2021-2022学年硕士研究生学业奖学金评选办法》进行评定和发放，一等奖学金每生每年8000元，二等奖学金6000元，三等奖学金4000元；硕士研究生获奖比例为在读学生的90%，其中一等、二等、三等奖学金获得者均各占总人数的10%、30%、50%。</w:t>
      </w:r>
    </w:p>
    <w:p>
      <w:pPr>
        <w:pStyle w:val="2"/>
        <w:spacing w:line="560" w:lineRule="exact"/>
        <w:ind w:firstLine="640"/>
        <w:rPr>
          <w:rFonts w:ascii="仿宋" w:hAnsi="仿宋" w:eastAsia="仿宋" w:cs="宋体"/>
          <w:sz w:val="32"/>
          <w:szCs w:val="32"/>
        </w:rPr>
      </w:pPr>
      <w:r>
        <w:rPr>
          <w:rFonts w:hint="eastAsia" w:ascii="仿宋" w:hAnsi="仿宋" w:eastAsia="仿宋" w:cs="宋体"/>
          <w:sz w:val="32"/>
          <w:szCs w:val="32"/>
        </w:rPr>
        <w:t>对推荐免试的硕士研究生全部享受一等学业奖学金。学院专门制定特殊奖助政策，对一年级中未纳入学校奖助体系的10%的学生，每生补助1000元，充分体现对报考到本专业学生的激励作用。</w:t>
      </w:r>
    </w:p>
    <w:p>
      <w:pPr>
        <w:pStyle w:val="9"/>
        <w:spacing w:before="0" w:beforeAutospacing="0" w:after="0" w:afterAutospacing="0" w:line="560" w:lineRule="exact"/>
        <w:ind w:firstLine="640"/>
        <w:jc w:val="both"/>
        <w:rPr>
          <w:rFonts w:ascii="仿宋" w:hAnsi="仿宋" w:eastAsia="仿宋"/>
          <w:color w:val="000000"/>
          <w:sz w:val="32"/>
          <w:szCs w:val="32"/>
        </w:rPr>
      </w:pPr>
      <w:r>
        <w:rPr>
          <w:rFonts w:hint="eastAsia" w:ascii="仿宋" w:hAnsi="仿宋" w:eastAsia="仿宋"/>
          <w:color w:val="000000"/>
          <w:sz w:val="32"/>
          <w:szCs w:val="32"/>
        </w:rPr>
        <w:t>研究生助学金为每人每月600元，覆盖面100%。同时，建立研究生与学院、专业，及导师之间的沟通与交流渠道，进一步完善帮困政策，帮助解决所面临的实际困难，主要是为研究生提供“三助”（助教、助研、助管）兼职岗位。</w:t>
      </w:r>
    </w:p>
    <w:p>
      <w:pPr>
        <w:pStyle w:val="2"/>
        <w:spacing w:line="560" w:lineRule="exact"/>
        <w:ind w:firstLine="643"/>
        <w:rPr>
          <w:rFonts w:ascii="仿宋" w:hAnsi="仿宋" w:eastAsia="仿宋" w:cs="宋体"/>
          <w:b/>
          <w:bCs/>
          <w:sz w:val="32"/>
          <w:szCs w:val="32"/>
        </w:rPr>
      </w:pPr>
      <w:r>
        <w:rPr>
          <w:rFonts w:hint="eastAsia" w:ascii="仿宋" w:hAnsi="仿宋" w:eastAsia="仿宋" w:cs="宋体"/>
          <w:b/>
          <w:bCs/>
          <w:sz w:val="32"/>
          <w:szCs w:val="32"/>
        </w:rPr>
        <w:t>3.人才培养建设</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3.1招生选拔</w:t>
      </w:r>
    </w:p>
    <w:p>
      <w:pPr>
        <w:widowControl/>
        <w:adjustRightInd w:val="0"/>
        <w:spacing w:line="560" w:lineRule="exact"/>
        <w:ind w:firstLine="640" w:firstLineChars="200"/>
        <w:jc w:val="left"/>
        <w:textAlignment w:val="baseline"/>
        <w:rPr>
          <w:rFonts w:ascii="仿宋" w:hAnsi="仿宋" w:eastAsia="仿宋" w:cs="宋体"/>
          <w:kern w:val="0"/>
          <w:sz w:val="32"/>
          <w:szCs w:val="32"/>
        </w:rPr>
      </w:pPr>
      <w:r>
        <w:rPr>
          <w:rFonts w:hint="eastAsia" w:ascii="仿宋" w:hAnsi="仿宋" w:eastAsia="仿宋" w:cs="宋体"/>
          <w:kern w:val="0"/>
          <w:sz w:val="32"/>
          <w:szCs w:val="32"/>
        </w:rPr>
        <w:t>2022年，本学位点共录取研究生11人，录取的11人中，本科专业为保险专业的10人，占比90%，另1人为金融工程专业，一致和相近的本科专业为培养质量的提高奠定了扎实的基础。另1人来自辽宁大学（211和双一流建设高校），5人来自河北大学。一志愿报考人数为30人，上线9人，调剂报名数40人，其中多人来自985和211高校，生源质量逐年提升。为保证生源质量采取的措施：加强招生宣传力度，扩大学校影响；规范接受校内、外推荐免试生工作流程；重视研究生复试工作，坚持择优录取、保证质量的原则，科学选拔、全面考察，特别是突出考核考生的综合素质</w:t>
      </w:r>
    </w:p>
    <w:p>
      <w:pPr>
        <w:pStyle w:val="2"/>
        <w:spacing w:line="560" w:lineRule="exact"/>
        <w:ind w:firstLine="643"/>
        <w:rPr>
          <w:rFonts w:ascii="仿宋" w:hAnsi="仿宋" w:eastAsia="仿宋" w:cs="宋体"/>
          <w:b/>
          <w:bCs/>
          <w:sz w:val="32"/>
          <w:szCs w:val="32"/>
        </w:rPr>
      </w:pPr>
      <w:r>
        <w:rPr>
          <w:rFonts w:hint="eastAsia" w:ascii="仿宋" w:hAnsi="仿宋" w:eastAsia="仿宋" w:cs="宋体"/>
          <w:b/>
          <w:bCs/>
          <w:sz w:val="32"/>
          <w:szCs w:val="32"/>
        </w:rPr>
        <w:t>3.2思政教育</w:t>
      </w:r>
    </w:p>
    <w:p>
      <w:pPr>
        <w:widowControl/>
        <w:spacing w:line="560" w:lineRule="exact"/>
        <w:ind w:firstLine="640" w:firstLineChars="200"/>
        <w:jc w:val="left"/>
        <w:rPr>
          <w:rFonts w:ascii="仿宋" w:hAnsi="仿宋" w:eastAsia="仿宋" w:cs="宋体"/>
          <w:sz w:val="32"/>
          <w:szCs w:val="32"/>
        </w:rPr>
      </w:pPr>
      <w:r>
        <w:rPr>
          <w:rFonts w:hint="eastAsia" w:ascii="仿宋" w:hAnsi="仿宋" w:eastAsia="仿宋" w:cs="宋体"/>
          <w:sz w:val="32"/>
          <w:szCs w:val="32"/>
        </w:rPr>
        <w:t>教育部开展思政教育和课程思政建设以来，坚持“全员育人、全程育人、全方位育人”的育人格局，在学校“滴灌式”理念指导下，结合保险学科特点，突出打造“担当求实、创新开放、诚信守则”为特征的育人理念和模式，将思想政治工作贯穿于人才培养全过程，不断提升人才培养质量和软实力。</w:t>
      </w:r>
    </w:p>
    <w:p>
      <w:pPr>
        <w:widowControl/>
        <w:spacing w:line="560" w:lineRule="exact"/>
        <w:ind w:firstLine="640" w:firstLineChars="200"/>
        <w:jc w:val="left"/>
        <w:rPr>
          <w:rFonts w:ascii="仿宋" w:hAnsi="仿宋" w:eastAsia="仿宋" w:cs="宋体"/>
          <w:sz w:val="32"/>
          <w:szCs w:val="32"/>
        </w:rPr>
      </w:pPr>
      <w:r>
        <w:rPr>
          <w:rFonts w:hint="eastAsia" w:ascii="仿宋" w:hAnsi="仿宋" w:eastAsia="仿宋" w:cs="宋体"/>
          <w:sz w:val="32"/>
          <w:szCs w:val="32"/>
        </w:rPr>
        <w:t>保险专业高度重视，成立了保险硕士专业学位思政教育管理机构，学科带头人为组长，专业课程教师和导师全员参加，从组织层面强化专业硕士研究生的思政教育工作。具体做法体现在以下几个方面：</w:t>
      </w:r>
    </w:p>
    <w:p>
      <w:pPr>
        <w:widowControl/>
        <w:spacing w:line="560" w:lineRule="exact"/>
        <w:ind w:firstLine="643" w:firstLineChars="200"/>
        <w:jc w:val="left"/>
        <w:rPr>
          <w:rFonts w:ascii="仿宋" w:hAnsi="仿宋" w:eastAsia="仿宋" w:cs="宋体"/>
          <w:b/>
          <w:bCs/>
          <w:sz w:val="32"/>
          <w:szCs w:val="32"/>
        </w:rPr>
      </w:pPr>
      <w:r>
        <w:rPr>
          <w:rFonts w:hint="eastAsia" w:ascii="仿宋" w:hAnsi="仿宋" w:eastAsia="仿宋" w:cs="宋体"/>
          <w:b/>
          <w:bCs/>
          <w:sz w:val="32"/>
          <w:szCs w:val="32"/>
        </w:rPr>
        <w:t>一是落实立德树人根本任务</w:t>
      </w:r>
    </w:p>
    <w:p>
      <w:pPr>
        <w:spacing w:line="560" w:lineRule="exact"/>
        <w:ind w:firstLine="640" w:firstLineChars="200"/>
        <w:jc w:val="left"/>
        <w:rPr>
          <w:rFonts w:ascii="仿宋" w:hAnsi="仿宋" w:eastAsia="仿宋" w:cs="宋体"/>
          <w:bCs/>
          <w:sz w:val="32"/>
          <w:szCs w:val="32"/>
        </w:rPr>
      </w:pPr>
      <w:r>
        <w:rPr>
          <w:rFonts w:hint="eastAsia" w:ascii="仿宋" w:hAnsi="仿宋" w:eastAsia="仿宋" w:cs="宋体"/>
          <w:bCs/>
          <w:sz w:val="32"/>
          <w:szCs w:val="32"/>
        </w:rPr>
        <w:t>依托金融系教工党支部和学生党支部，充分发挥党支部在落实党的教育方针，以及巩固马克思主义在高校意识形态领域的指导地位的作用，筑牢学生理想信念。重点体现在持续多年的河北大学旧址和天津金融博物馆学习活动。以及“融通党建”工作，通过参与金融机构的党建活动，来进一步培养学生对于金融职业素养的理解；在金融系教师支部常年坚持开展“站好三尺讲台、讲好中国故事”的主题支部活动，传播校园正能量。2022年冯莉教授的河北大学“双带头人”教师党支部书记工作室获批，为立德树人发挥了更好的桥头堡作用。</w:t>
      </w:r>
    </w:p>
    <w:p>
      <w:pPr>
        <w:widowControl/>
        <w:spacing w:line="560" w:lineRule="exact"/>
        <w:ind w:firstLine="643" w:firstLineChars="200"/>
        <w:jc w:val="left"/>
        <w:rPr>
          <w:rFonts w:ascii="仿宋" w:hAnsi="仿宋" w:eastAsia="仿宋" w:cs="宋体"/>
          <w:b/>
          <w:bCs/>
          <w:sz w:val="32"/>
          <w:szCs w:val="32"/>
        </w:rPr>
      </w:pPr>
      <w:r>
        <w:rPr>
          <w:rFonts w:hint="eastAsia" w:ascii="仿宋" w:hAnsi="仿宋" w:eastAsia="仿宋" w:cs="宋体"/>
          <w:b/>
          <w:bCs/>
          <w:sz w:val="32"/>
          <w:szCs w:val="32"/>
        </w:rPr>
        <w:t>二是课程思政建设方面</w:t>
      </w:r>
    </w:p>
    <w:p>
      <w:pPr>
        <w:widowControl/>
        <w:spacing w:line="560" w:lineRule="exact"/>
        <w:ind w:firstLine="640" w:firstLineChars="200"/>
        <w:jc w:val="left"/>
        <w:rPr>
          <w:rFonts w:ascii="仿宋" w:hAnsi="仿宋" w:eastAsia="仿宋" w:cs="宋体"/>
          <w:b/>
          <w:bCs/>
          <w:sz w:val="32"/>
          <w:szCs w:val="32"/>
        </w:rPr>
      </w:pPr>
      <w:r>
        <w:rPr>
          <w:rFonts w:hint="eastAsia" w:ascii="仿宋" w:hAnsi="仿宋" w:eastAsia="仿宋" w:cs="宋体"/>
          <w:sz w:val="32"/>
          <w:szCs w:val="32"/>
        </w:rPr>
        <w:t>围绕教育部课程思政建设指导纲要，切实加强全体教师的思想政治教育，增强师资队伍的思想政治道德水平，全部课程实施“课程思政”建设。2022年，陈伟华获得河北大学课程思政教学竞赛二等奖1项。</w:t>
      </w:r>
    </w:p>
    <w:p>
      <w:pPr>
        <w:widowControl/>
        <w:spacing w:line="560" w:lineRule="exact"/>
        <w:ind w:firstLine="643" w:firstLineChars="200"/>
        <w:jc w:val="left"/>
        <w:rPr>
          <w:rFonts w:ascii="仿宋" w:hAnsi="仿宋" w:eastAsia="仿宋" w:cs="宋体"/>
          <w:b/>
          <w:bCs/>
          <w:sz w:val="32"/>
          <w:szCs w:val="32"/>
        </w:rPr>
      </w:pPr>
      <w:r>
        <w:rPr>
          <w:rFonts w:hint="eastAsia" w:ascii="仿宋" w:hAnsi="仿宋" w:eastAsia="仿宋" w:cs="宋体"/>
          <w:b/>
          <w:bCs/>
          <w:sz w:val="32"/>
          <w:szCs w:val="32"/>
        </w:rPr>
        <w:t>三是学生党支部的管理</w:t>
      </w:r>
    </w:p>
    <w:p>
      <w:pPr>
        <w:widowControl/>
        <w:spacing w:line="560" w:lineRule="exact"/>
        <w:ind w:firstLine="640" w:firstLineChars="200"/>
        <w:jc w:val="left"/>
        <w:rPr>
          <w:rFonts w:ascii="仿宋" w:hAnsi="仿宋" w:eastAsia="仿宋" w:cs="宋体"/>
          <w:sz w:val="32"/>
          <w:szCs w:val="32"/>
        </w:rPr>
      </w:pPr>
      <w:r>
        <w:rPr>
          <w:rFonts w:hint="eastAsia" w:ascii="仿宋" w:hAnsi="仿宋" w:eastAsia="仿宋" w:cs="宋体"/>
          <w:sz w:val="32"/>
          <w:szCs w:val="32"/>
        </w:rPr>
        <w:t>金融系三个专业组成了经济学院研究生第三党支部，而且从2017年开始，由教工党员担任学生党支部的支部书记，强化组织建设和管理。并通过一系列培训加强学生党支部书记的政治素养和能力。</w:t>
      </w:r>
    </w:p>
    <w:p>
      <w:pPr>
        <w:widowControl/>
        <w:spacing w:line="560" w:lineRule="exact"/>
        <w:ind w:firstLine="643" w:firstLineChars="200"/>
        <w:jc w:val="left"/>
        <w:rPr>
          <w:rFonts w:ascii="仿宋" w:hAnsi="仿宋" w:eastAsia="仿宋" w:cs="宋体"/>
          <w:b/>
          <w:bCs/>
          <w:sz w:val="32"/>
          <w:szCs w:val="32"/>
        </w:rPr>
      </w:pPr>
      <w:r>
        <w:rPr>
          <w:rFonts w:hint="eastAsia" w:ascii="仿宋" w:hAnsi="仿宋" w:eastAsia="仿宋" w:cs="宋体"/>
          <w:b/>
          <w:bCs/>
          <w:sz w:val="32"/>
          <w:szCs w:val="32"/>
        </w:rPr>
        <w:t>四是思政队伍建设</w:t>
      </w:r>
    </w:p>
    <w:p>
      <w:pPr>
        <w:widowControl/>
        <w:spacing w:line="560" w:lineRule="exact"/>
        <w:ind w:firstLine="640" w:firstLineChars="200"/>
        <w:jc w:val="left"/>
        <w:rPr>
          <w:rFonts w:ascii="仿宋" w:hAnsi="仿宋" w:eastAsia="仿宋" w:cs="宋体"/>
          <w:sz w:val="32"/>
          <w:szCs w:val="32"/>
        </w:rPr>
      </w:pPr>
      <w:r>
        <w:rPr>
          <w:rFonts w:hint="eastAsia" w:ascii="仿宋" w:hAnsi="仿宋" w:eastAsia="仿宋" w:cs="宋体"/>
          <w:sz w:val="32"/>
          <w:szCs w:val="32"/>
        </w:rPr>
        <w:t>基层党委、党支部、辅导员、导师、专业课程教师、思政课程导师组成了多维度、多元化的思政队伍，多角度切入学生的思政教育和意识形态培养。</w:t>
      </w:r>
    </w:p>
    <w:p>
      <w:pPr>
        <w:widowControl/>
        <w:spacing w:line="560" w:lineRule="exact"/>
        <w:ind w:firstLine="643" w:firstLineChars="200"/>
        <w:jc w:val="left"/>
        <w:rPr>
          <w:rFonts w:ascii="仿宋" w:hAnsi="仿宋" w:eastAsia="仿宋" w:cs="宋体"/>
          <w:b/>
          <w:bCs/>
          <w:sz w:val="32"/>
          <w:szCs w:val="32"/>
        </w:rPr>
      </w:pPr>
      <w:r>
        <w:rPr>
          <w:rFonts w:hint="eastAsia" w:ascii="仿宋" w:hAnsi="仿宋" w:eastAsia="仿宋" w:cs="宋体"/>
          <w:b/>
          <w:bCs/>
          <w:sz w:val="32"/>
          <w:szCs w:val="32"/>
        </w:rPr>
        <w:t>五是实践基地思政育人建设</w:t>
      </w:r>
    </w:p>
    <w:p>
      <w:pPr>
        <w:widowControl/>
        <w:spacing w:line="560" w:lineRule="exact"/>
        <w:ind w:firstLine="640" w:firstLineChars="200"/>
        <w:jc w:val="left"/>
        <w:rPr>
          <w:rFonts w:ascii="仿宋" w:hAnsi="仿宋" w:eastAsia="仿宋" w:cs="宋体"/>
          <w:sz w:val="32"/>
          <w:szCs w:val="32"/>
        </w:rPr>
      </w:pPr>
      <w:r>
        <w:rPr>
          <w:rFonts w:hint="eastAsia" w:ascii="仿宋" w:hAnsi="仿宋" w:eastAsia="仿宋" w:cs="宋体"/>
          <w:sz w:val="32"/>
          <w:szCs w:val="32"/>
        </w:rPr>
        <w:t>充分发挥各类实践基地专业导师的力量，对学生言传身教。通过校外导师的实例讲解以及对经典思政教育行业案例的剖析，通过真实案例突出思政教育的重要性，突出“四个意识”、“初心和使命”在保险行业发展中的重要性。同时</w:t>
      </w:r>
      <w:r>
        <w:rPr>
          <w:rFonts w:hint="eastAsia" w:ascii="仿宋" w:hAnsi="仿宋" w:eastAsia="仿宋" w:cs="宋体"/>
          <w:color w:val="000000"/>
          <w:sz w:val="32"/>
          <w:szCs w:val="32"/>
        </w:rPr>
        <w:t>结合保险行业特点，通过行业案件，强化合规意识的培养，注重职业道德和法制观念的培养。</w:t>
      </w:r>
      <w:r>
        <w:rPr>
          <w:rFonts w:hint="eastAsia" w:ascii="仿宋" w:hAnsi="仿宋" w:eastAsia="仿宋" w:cs="宋体"/>
          <w:sz w:val="32"/>
          <w:szCs w:val="32"/>
        </w:rPr>
        <w:t>2022年，与“燕赵财险”签订了“融通党建” 育人协议。</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3.3课程教学</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课程设置是人才培养方案的核心，2021级保险专业硕士开始使用新的培养方案，2022年是全面实施和落实的一年，效果不错。</w:t>
      </w:r>
    </w:p>
    <w:p>
      <w:pPr>
        <w:pStyle w:val="2"/>
        <w:spacing w:line="560" w:lineRule="exact"/>
        <w:ind w:firstLine="640"/>
        <w:rPr>
          <w:rFonts w:ascii="仿宋" w:hAnsi="仿宋" w:eastAsia="仿宋" w:cs="宋体"/>
          <w:color w:val="auto"/>
          <w:sz w:val="32"/>
          <w:szCs w:val="32"/>
        </w:rPr>
      </w:pPr>
      <w:r>
        <w:rPr>
          <w:rFonts w:ascii="仿宋" w:hAnsi="仿宋" w:eastAsia="仿宋" w:cs="宋体"/>
          <w:color w:val="auto"/>
          <w:sz w:val="32"/>
          <w:szCs w:val="32"/>
        </w:rPr>
        <w:t>2022年对培养方案进行细微调整：结合理论知识的衔接，对保险数理基础等课程的学期安排进行了适度调整，保险经济学、再保险理论与实务课程</w:t>
      </w:r>
      <w:r>
        <w:rPr>
          <w:rFonts w:hint="eastAsia" w:ascii="仿宋" w:hAnsi="仿宋" w:eastAsia="仿宋" w:cs="宋体"/>
          <w:color w:val="auto"/>
          <w:sz w:val="32"/>
          <w:szCs w:val="32"/>
        </w:rPr>
        <w:t>的开设</w:t>
      </w:r>
      <w:r>
        <w:rPr>
          <w:rFonts w:ascii="仿宋" w:hAnsi="仿宋" w:eastAsia="仿宋" w:cs="宋体"/>
          <w:color w:val="auto"/>
          <w:sz w:val="32"/>
          <w:szCs w:val="32"/>
        </w:rPr>
        <w:t>，拓展学生的理论知识深度和广度。</w:t>
      </w:r>
    </w:p>
    <w:p>
      <w:pPr>
        <w:pStyle w:val="2"/>
        <w:spacing w:line="560" w:lineRule="exact"/>
        <w:ind w:firstLine="643"/>
        <w:rPr>
          <w:rFonts w:ascii="仿宋" w:hAnsi="仿宋" w:eastAsia="仿宋" w:cs="宋体"/>
          <w:sz w:val="32"/>
          <w:szCs w:val="32"/>
        </w:rPr>
      </w:pPr>
      <w:r>
        <w:rPr>
          <w:rFonts w:hint="eastAsia" w:ascii="仿宋" w:hAnsi="仿宋" w:eastAsia="仿宋" w:cs="宋体"/>
          <w:b/>
          <w:bCs/>
          <w:sz w:val="32"/>
          <w:szCs w:val="32"/>
        </w:rPr>
        <w:t>一是突出理论系统完整性和现实热点融合。</w:t>
      </w:r>
      <w:r>
        <w:rPr>
          <w:rFonts w:hint="eastAsia" w:ascii="仿宋" w:hAnsi="仿宋" w:eastAsia="仿宋" w:cs="宋体"/>
          <w:sz w:val="32"/>
          <w:szCs w:val="32"/>
        </w:rPr>
        <w:t>“保险理论研究”、“风险管理研究”、“保险经济学”、“保险数理基础”和“金融理论与政策”课程从宏观方面为学生打牢保险、金融基础理论，并结合最新政策把握保险业和金融业动态与合规发展，培养学生宏观管理能力与合规经营理念；</w:t>
      </w:r>
    </w:p>
    <w:p>
      <w:pPr>
        <w:pStyle w:val="2"/>
        <w:spacing w:line="560" w:lineRule="exact"/>
        <w:ind w:firstLine="643"/>
        <w:rPr>
          <w:rFonts w:ascii="仿宋" w:hAnsi="仿宋" w:eastAsia="仿宋" w:cs="宋体"/>
          <w:sz w:val="32"/>
          <w:szCs w:val="32"/>
        </w:rPr>
      </w:pPr>
      <w:r>
        <w:rPr>
          <w:rFonts w:hint="eastAsia" w:ascii="仿宋" w:hAnsi="仿宋" w:eastAsia="仿宋" w:cs="宋体"/>
          <w:b/>
          <w:bCs/>
          <w:sz w:val="32"/>
          <w:szCs w:val="32"/>
        </w:rPr>
        <w:t>二是引入案例教学。</w:t>
      </w:r>
      <w:r>
        <w:rPr>
          <w:rFonts w:hint="eastAsia" w:ascii="仿宋" w:hAnsi="仿宋" w:eastAsia="仿宋" w:cs="宋体"/>
          <w:sz w:val="32"/>
          <w:szCs w:val="32"/>
        </w:rPr>
        <w:t>课程多以案例为切入进行知识点的讲授，“保险经营管理与案例分析”、“金融营销”、“社会保险理论与实务”等课程多以案例形式导入，引导学生快速进入保险行业，培养学生保险意识。</w:t>
      </w:r>
    </w:p>
    <w:p>
      <w:pPr>
        <w:pStyle w:val="2"/>
        <w:spacing w:line="560" w:lineRule="exact"/>
        <w:ind w:firstLine="643"/>
        <w:rPr>
          <w:rFonts w:ascii="仿宋" w:hAnsi="仿宋" w:eastAsia="仿宋" w:cs="宋体"/>
          <w:sz w:val="32"/>
          <w:szCs w:val="32"/>
        </w:rPr>
      </w:pPr>
      <w:r>
        <w:rPr>
          <w:rFonts w:hint="eastAsia" w:ascii="仿宋" w:hAnsi="仿宋" w:eastAsia="仿宋" w:cs="宋体"/>
          <w:b/>
          <w:bCs/>
          <w:sz w:val="32"/>
          <w:szCs w:val="32"/>
        </w:rPr>
        <w:t>三是注重应用实操性。</w:t>
      </w:r>
      <w:r>
        <w:rPr>
          <w:rFonts w:hint="eastAsia" w:ascii="仿宋" w:hAnsi="仿宋" w:eastAsia="仿宋" w:cs="宋体"/>
          <w:sz w:val="32"/>
          <w:szCs w:val="32"/>
        </w:rPr>
        <w:t>“保险法律制度与监管”、“保险财务分析”、“保险从业人员心理与职业教育”、“财富管理”代表保险行业需求最新发展方向，为学生未来进入保险行业培养先进的分析方法与实操技术。</w:t>
      </w:r>
    </w:p>
    <w:p>
      <w:pPr>
        <w:pStyle w:val="2"/>
        <w:spacing w:line="560" w:lineRule="exact"/>
        <w:ind w:firstLine="643"/>
        <w:rPr>
          <w:rFonts w:ascii="仿宋" w:hAnsi="仿宋" w:eastAsia="仿宋" w:cs="宋体"/>
          <w:sz w:val="32"/>
          <w:szCs w:val="32"/>
        </w:rPr>
      </w:pPr>
      <w:r>
        <w:rPr>
          <w:rFonts w:hint="eastAsia" w:ascii="仿宋" w:hAnsi="仿宋" w:eastAsia="仿宋" w:cs="宋体"/>
          <w:b/>
          <w:bCs/>
          <w:sz w:val="32"/>
          <w:szCs w:val="32"/>
        </w:rPr>
        <w:t>四是加强教学前沿性。</w:t>
      </w:r>
      <w:r>
        <w:rPr>
          <w:rFonts w:hint="eastAsia" w:ascii="仿宋" w:hAnsi="仿宋" w:eastAsia="仿宋" w:cs="宋体"/>
          <w:sz w:val="32"/>
          <w:szCs w:val="32"/>
        </w:rPr>
        <w:t>一方面将行业专家请入课堂，以讲座形式讲授当前保险金融特点，另一方面设有“金融投资理论前沿与实务专题”课程。</w:t>
      </w:r>
    </w:p>
    <w:p>
      <w:pPr>
        <w:pStyle w:val="2"/>
        <w:spacing w:line="560" w:lineRule="exact"/>
        <w:ind w:firstLine="643"/>
        <w:rPr>
          <w:rFonts w:ascii="仿宋" w:hAnsi="仿宋" w:eastAsia="仿宋" w:cs="宋体"/>
          <w:b/>
          <w:bCs/>
          <w:sz w:val="32"/>
          <w:szCs w:val="32"/>
        </w:rPr>
      </w:pPr>
      <w:r>
        <w:rPr>
          <w:rFonts w:hint="eastAsia" w:ascii="仿宋" w:hAnsi="仿宋" w:eastAsia="仿宋" w:cs="宋体"/>
          <w:b/>
          <w:bCs/>
          <w:sz w:val="32"/>
          <w:szCs w:val="32"/>
        </w:rPr>
        <w:t>3.4导师指导</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一是导师选聘工作</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根据《河北大学研究生指导教师选聘与考核实施细则》文件，经济学院每两年开展一次研究生导师选聘工作。就选聘条件来看，一般应具有副教授（副研究员或相当职称）及以上职称，或具有博士学位；对于校外行业导师，应为单位业务骨干，具有硕士及以上学位，年龄一般不超过55岁。在相关行业领域经验丰富，具有较大影响力者，可适当放宽条件。结合具体情况制定科研学术条件要求。</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经济学院将学校集中培训与学院分散培训相结合，将岗前培训和在岗培训相结合，形成了导师培训的长效机制。为了保证研究生培养质量，学院对硕士生指导教师的考核每年进行一次，每3年为一个周期，3年内硕士生指导教师的教学与科研情况须满足相应条件。对考核成绩优异者，给予奖励；对未履行岗位职责者给予相应处理，暂停其当年的硕士生招生资格，直至取消其硕士生指导教师资格。</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为加强导师职业道德建设，提高导师的思想道德素质，在认真落实《河北大学研究生导师立德树人实施细则》的基础上，学院积极探索师德师风建设长效机制，制定了《经济学院高层次优秀中青年教师支持计划》和《河北大学经济学院访问学者实施办法》等办法，提高教师科研水平和推进师德师风建设。具体做法包括把握师德师风建设方向，突出思想引领；建立全员职业培训，强化教师职业道德教育；严格标准抓管理，建立和完善师德师风激励机制；加强教师的职业培训，提升教师的职业技能。经过不懈努力，取得了显著成效。</w:t>
      </w:r>
    </w:p>
    <w:p>
      <w:pPr>
        <w:pStyle w:val="2"/>
        <w:spacing w:line="560" w:lineRule="exact"/>
        <w:ind w:firstLine="643"/>
        <w:rPr>
          <w:rFonts w:ascii="仿宋" w:hAnsi="仿宋" w:eastAsia="仿宋" w:cs="宋体"/>
          <w:b/>
          <w:bCs/>
          <w:sz w:val="32"/>
          <w:szCs w:val="32"/>
        </w:rPr>
      </w:pPr>
      <w:r>
        <w:rPr>
          <w:rFonts w:hint="eastAsia" w:ascii="仿宋" w:hAnsi="仿宋" w:eastAsia="仿宋" w:cs="宋体"/>
          <w:b/>
          <w:bCs/>
          <w:sz w:val="32"/>
          <w:szCs w:val="32"/>
        </w:rPr>
        <w:t>二是双导师制度</w:t>
      </w:r>
    </w:p>
    <w:p>
      <w:pPr>
        <w:spacing w:line="560" w:lineRule="exact"/>
        <w:ind w:firstLine="640" w:firstLineChars="200"/>
        <w:jc w:val="left"/>
        <w:rPr>
          <w:rFonts w:ascii="仿宋" w:hAnsi="仿宋" w:eastAsia="仿宋" w:cs="宋体"/>
          <w:sz w:val="32"/>
          <w:szCs w:val="32"/>
        </w:rPr>
      </w:pPr>
      <w:r>
        <w:rPr>
          <w:rFonts w:hint="eastAsia" w:ascii="仿宋" w:hAnsi="仿宋" w:eastAsia="仿宋" w:cs="宋体"/>
          <w:sz w:val="32"/>
          <w:szCs w:val="32"/>
        </w:rPr>
        <w:t>本学位点建成以来，一直坚持实施双导师制度，充分利用校内教师的资源聘请行业导师参与开题、预答辩等工作，审核把握毕业论文的行业实践价值和适用情况。并在毕业论文封面中列明校内和校外导师。</w:t>
      </w:r>
    </w:p>
    <w:p>
      <w:pPr>
        <w:spacing w:line="560" w:lineRule="exact"/>
        <w:jc w:val="center"/>
        <w:rPr>
          <w:rFonts w:ascii="仿宋" w:hAnsi="仿宋" w:eastAsia="仿宋"/>
          <w:b/>
          <w:sz w:val="28"/>
          <w:szCs w:val="28"/>
        </w:rPr>
      </w:pPr>
      <w:r>
        <w:rPr>
          <w:rFonts w:hint="eastAsia" w:ascii="仿宋" w:hAnsi="仿宋" w:eastAsia="仿宋" w:cs="宋体"/>
          <w:b/>
          <w:sz w:val="28"/>
          <w:szCs w:val="28"/>
        </w:rPr>
        <w:t>表3  2022年保险专业学位硕士研究生毕业论文情况</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6062"/>
        <w:gridCol w:w="1135"/>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姓名</w:t>
            </w:r>
          </w:p>
        </w:tc>
        <w:tc>
          <w:tcPr>
            <w:tcW w:w="3264"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题目</w:t>
            </w:r>
          </w:p>
        </w:tc>
        <w:tc>
          <w:tcPr>
            <w:tcW w:w="611"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校内导师</w:t>
            </w:r>
          </w:p>
        </w:tc>
        <w:tc>
          <w:tcPr>
            <w:tcW w:w="591"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校外导师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罗紫丹</w:t>
            </w:r>
          </w:p>
        </w:tc>
        <w:tc>
          <w:tcPr>
            <w:tcW w:w="326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重大危机事件冲击下保险业系统性风险测度与分析</w:t>
            </w:r>
          </w:p>
        </w:tc>
        <w:tc>
          <w:tcPr>
            <w:tcW w:w="611"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尚颖</w:t>
            </w:r>
          </w:p>
        </w:tc>
        <w:tc>
          <w:tcPr>
            <w:tcW w:w="591"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张海东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虞君</w:t>
            </w:r>
          </w:p>
        </w:tc>
        <w:tc>
          <w:tcPr>
            <w:tcW w:w="326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商业人寿保险对家庭风险金融资产配置的影响</w:t>
            </w:r>
          </w:p>
        </w:tc>
        <w:tc>
          <w:tcPr>
            <w:tcW w:w="611"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王培辉陈伟华</w:t>
            </w:r>
          </w:p>
        </w:tc>
        <w:tc>
          <w:tcPr>
            <w:tcW w:w="591"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张海东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韩蕊</w:t>
            </w:r>
          </w:p>
        </w:tc>
        <w:tc>
          <w:tcPr>
            <w:tcW w:w="326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财险公司健康险业务经营效率及影响因素分析</w:t>
            </w:r>
          </w:p>
        </w:tc>
        <w:tc>
          <w:tcPr>
            <w:tcW w:w="611"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尹成远</w:t>
            </w:r>
          </w:p>
        </w:tc>
        <w:tc>
          <w:tcPr>
            <w:tcW w:w="591"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武丽英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桂健</w:t>
            </w:r>
          </w:p>
        </w:tc>
        <w:tc>
          <w:tcPr>
            <w:tcW w:w="326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股权结构对承保风险的影响机制分析--基于寿险公司的门限效应</w:t>
            </w:r>
          </w:p>
        </w:tc>
        <w:tc>
          <w:tcPr>
            <w:tcW w:w="611"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尚颖</w:t>
            </w:r>
          </w:p>
        </w:tc>
        <w:tc>
          <w:tcPr>
            <w:tcW w:w="591"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王吉山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王斯祺</w:t>
            </w:r>
          </w:p>
        </w:tc>
        <w:tc>
          <w:tcPr>
            <w:tcW w:w="326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我国寿险公司经营效率分析--基于银行系和非银行系的比较</w:t>
            </w:r>
          </w:p>
        </w:tc>
        <w:tc>
          <w:tcPr>
            <w:tcW w:w="611"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尚颖</w:t>
            </w:r>
          </w:p>
        </w:tc>
        <w:tc>
          <w:tcPr>
            <w:tcW w:w="591"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王吉山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洪星星</w:t>
            </w:r>
          </w:p>
        </w:tc>
        <w:tc>
          <w:tcPr>
            <w:tcW w:w="326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家庭成员健康状况对商业健康险购买行为的影响分析——基于京津冀调查问卷</w:t>
            </w:r>
          </w:p>
        </w:tc>
        <w:tc>
          <w:tcPr>
            <w:tcW w:w="611"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刘从军</w:t>
            </w:r>
          </w:p>
        </w:tc>
        <w:tc>
          <w:tcPr>
            <w:tcW w:w="591"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李冰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周莹</w:t>
            </w:r>
          </w:p>
        </w:tc>
        <w:tc>
          <w:tcPr>
            <w:tcW w:w="326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市场竞争对我国财险公司创新能力的影响分析</w:t>
            </w:r>
          </w:p>
        </w:tc>
        <w:tc>
          <w:tcPr>
            <w:tcW w:w="611" w:type="pct"/>
            <w:shd w:val="clear" w:color="auto" w:fill="auto"/>
            <w:vAlign w:val="center"/>
          </w:tcPr>
          <w:p>
            <w:pPr>
              <w:widowControl/>
              <w:spacing w:line="312" w:lineRule="auto"/>
              <w:jc w:val="center"/>
              <w:textAlignment w:val="bottom"/>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王培辉</w:t>
            </w:r>
          </w:p>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陈伟华</w:t>
            </w:r>
          </w:p>
        </w:tc>
        <w:tc>
          <w:tcPr>
            <w:tcW w:w="591"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聂志炜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陈雪</w:t>
            </w:r>
          </w:p>
        </w:tc>
        <w:tc>
          <w:tcPr>
            <w:tcW w:w="326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全面风险管理对寿险公司经营效率的影响分析</w:t>
            </w:r>
          </w:p>
        </w:tc>
        <w:tc>
          <w:tcPr>
            <w:tcW w:w="611"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赵雪燕</w:t>
            </w:r>
          </w:p>
        </w:tc>
        <w:tc>
          <w:tcPr>
            <w:tcW w:w="591"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武丽英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叶晓淼</w:t>
            </w:r>
          </w:p>
        </w:tc>
        <w:tc>
          <w:tcPr>
            <w:tcW w:w="326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“偿二代”下我国寿险公司资金运用效率及影响因素分析</w:t>
            </w:r>
          </w:p>
        </w:tc>
        <w:tc>
          <w:tcPr>
            <w:tcW w:w="611"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尹成远</w:t>
            </w:r>
          </w:p>
        </w:tc>
        <w:tc>
          <w:tcPr>
            <w:tcW w:w="591"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谢臻须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成哲</w:t>
            </w:r>
          </w:p>
        </w:tc>
        <w:tc>
          <w:tcPr>
            <w:tcW w:w="326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扩大商业车险自主定价权的政策效应分析</w:t>
            </w:r>
          </w:p>
        </w:tc>
        <w:tc>
          <w:tcPr>
            <w:tcW w:w="611"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贾士彬</w:t>
            </w:r>
          </w:p>
        </w:tc>
        <w:tc>
          <w:tcPr>
            <w:tcW w:w="591"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段应元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付齐岳</w:t>
            </w:r>
          </w:p>
        </w:tc>
        <w:tc>
          <w:tcPr>
            <w:tcW w:w="326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主观风险对河北省居民寿险购买行为的影响分析</w:t>
            </w:r>
          </w:p>
        </w:tc>
        <w:tc>
          <w:tcPr>
            <w:tcW w:w="611"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刘从军</w:t>
            </w:r>
          </w:p>
        </w:tc>
        <w:tc>
          <w:tcPr>
            <w:tcW w:w="591"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李冰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shd w:val="clear" w:color="auto" w:fill="auto"/>
            <w:vAlign w:val="center"/>
          </w:tcPr>
          <w:p>
            <w:pPr>
              <w:widowControl/>
              <w:spacing w:line="312" w:lineRule="auto"/>
              <w:jc w:val="center"/>
              <w:textAlignment w:val="bottom"/>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张文玲</w:t>
            </w:r>
          </w:p>
        </w:tc>
        <w:tc>
          <w:tcPr>
            <w:tcW w:w="326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“交强险开放”对外资财险公司经营的影响分析——基于PSM-DID模型</w:t>
            </w:r>
          </w:p>
        </w:tc>
        <w:tc>
          <w:tcPr>
            <w:tcW w:w="611"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贾士彬</w:t>
            </w:r>
          </w:p>
        </w:tc>
        <w:tc>
          <w:tcPr>
            <w:tcW w:w="591"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段应元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shd w:val="clear" w:color="auto" w:fill="auto"/>
            <w:vAlign w:val="center"/>
          </w:tcPr>
          <w:p>
            <w:pPr>
              <w:widowControl/>
              <w:spacing w:line="312" w:lineRule="auto"/>
              <w:jc w:val="center"/>
              <w:textAlignment w:val="bottom"/>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杨亚卓</w:t>
            </w:r>
          </w:p>
        </w:tc>
        <w:tc>
          <w:tcPr>
            <w:tcW w:w="3264"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人口结构演变对人身保险需求影响分析</w:t>
            </w:r>
          </w:p>
        </w:tc>
        <w:tc>
          <w:tcPr>
            <w:tcW w:w="611" w:type="pct"/>
            <w:shd w:val="clear" w:color="auto" w:fill="auto"/>
            <w:vAlign w:val="center"/>
          </w:tcPr>
          <w:p>
            <w:pPr>
              <w:widowControl/>
              <w:spacing w:line="312" w:lineRule="auto"/>
              <w:jc w:val="center"/>
              <w:textAlignment w:val="bottom"/>
              <w:rPr>
                <w:rFonts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bidi="ar"/>
              </w:rPr>
              <w:t>徐树林</w:t>
            </w:r>
          </w:p>
        </w:tc>
        <w:tc>
          <w:tcPr>
            <w:tcW w:w="591" w:type="pct"/>
            <w:shd w:val="clear" w:color="auto" w:fill="auto"/>
            <w:vAlign w:val="center"/>
          </w:tcPr>
          <w:p>
            <w:pPr>
              <w:spacing w:line="312" w:lineRule="auto"/>
              <w:jc w:val="center"/>
              <w:rPr>
                <w:rFonts w:ascii="Times New Roman" w:hAnsi="Times New Roman" w:eastAsia="宋体" w:cs="Times New Roman"/>
                <w:sz w:val="21"/>
                <w:szCs w:val="21"/>
              </w:rPr>
            </w:pPr>
            <w:r>
              <w:rPr>
                <w:rFonts w:hint="default" w:ascii="Times New Roman" w:hAnsi="Times New Roman" w:eastAsia="宋体" w:cs="Times New Roman"/>
                <w:sz w:val="21"/>
                <w:szCs w:val="21"/>
              </w:rPr>
              <w:t>聂志炜</w:t>
            </w:r>
          </w:p>
        </w:tc>
      </w:tr>
    </w:tbl>
    <w:p>
      <w:pPr>
        <w:spacing w:line="240" w:lineRule="exact"/>
        <w:rPr>
          <w:rFonts w:ascii="仿宋" w:hAnsi="仿宋" w:eastAsia="仿宋"/>
          <w:szCs w:val="32"/>
        </w:rPr>
      </w:pP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3.5实践教学</w:t>
      </w:r>
    </w:p>
    <w:p>
      <w:pPr>
        <w:pStyle w:val="2"/>
        <w:spacing w:line="560" w:lineRule="exact"/>
        <w:ind w:firstLine="640"/>
        <w:rPr>
          <w:rFonts w:ascii="仿宋" w:hAnsi="仿宋" w:eastAsia="仿宋" w:cs="宋体"/>
          <w:sz w:val="32"/>
          <w:szCs w:val="32"/>
        </w:rPr>
      </w:pPr>
      <w:r>
        <w:rPr>
          <w:rFonts w:hint="eastAsia" w:ascii="仿宋" w:hAnsi="仿宋" w:eastAsia="仿宋" w:cs="宋体"/>
          <w:sz w:val="32"/>
          <w:szCs w:val="32"/>
        </w:rPr>
        <w:t>加强实践环节，以实际应用为导向，以职业需求为目标，以综合素养和应用知识与能力提高为核心。要求所有学生必须参加行业实习，以燕赵财险、财达证券、太平洋财险河北、人保财险保定为主要实习单位，强化组织，至少1个月的实习时间，并撰写实习报告，由实习单位出具实习鉴定。</w:t>
      </w:r>
    </w:p>
    <w:p>
      <w:pPr>
        <w:spacing w:line="560" w:lineRule="exact"/>
        <w:jc w:val="center"/>
        <w:rPr>
          <w:rFonts w:hint="eastAsia" w:ascii="仿宋" w:hAnsi="仿宋" w:eastAsia="仿宋" w:cs="宋体"/>
          <w:szCs w:val="32"/>
        </w:rPr>
      </w:pPr>
    </w:p>
    <w:p>
      <w:pPr>
        <w:pStyle w:val="2"/>
        <w:rPr>
          <w:rFonts w:hint="eastAsia"/>
        </w:rPr>
      </w:pPr>
    </w:p>
    <w:p>
      <w:pPr>
        <w:spacing w:line="240" w:lineRule="auto"/>
        <w:jc w:val="both"/>
        <w:rPr>
          <w:rFonts w:hint="eastAsia"/>
        </w:rPr>
      </w:pPr>
    </w:p>
    <w:p>
      <w:pPr>
        <w:spacing w:line="560" w:lineRule="exact"/>
        <w:jc w:val="center"/>
        <w:rPr>
          <w:rFonts w:hint="eastAsia" w:ascii="仿宋" w:hAnsi="仿宋" w:eastAsia="仿宋" w:cs="宋体"/>
          <w:szCs w:val="32"/>
        </w:rPr>
      </w:pPr>
    </w:p>
    <w:p>
      <w:pPr>
        <w:spacing w:line="560" w:lineRule="exact"/>
        <w:jc w:val="center"/>
        <w:rPr>
          <w:rFonts w:ascii="仿宋" w:hAnsi="仿宋" w:eastAsia="仿宋" w:cs="宋体"/>
          <w:b/>
          <w:sz w:val="28"/>
          <w:szCs w:val="28"/>
        </w:rPr>
      </w:pPr>
      <w:r>
        <w:rPr>
          <w:rFonts w:hint="eastAsia" w:ascii="仿宋" w:hAnsi="仿宋" w:eastAsia="仿宋" w:cs="宋体"/>
          <w:b/>
          <w:sz w:val="28"/>
          <w:szCs w:val="28"/>
        </w:rPr>
        <w:t xml:space="preserve">表4 </w:t>
      </w:r>
      <w:r>
        <w:rPr>
          <w:rFonts w:hint="eastAsia" w:ascii="仿宋" w:hAnsi="仿宋" w:eastAsia="仿宋" w:cs="宋体"/>
          <w:b/>
          <w:sz w:val="28"/>
          <w:szCs w:val="28"/>
        </w:rPr>
        <w:t xml:space="preserve"> </w:t>
      </w:r>
      <w:r>
        <w:rPr>
          <w:rFonts w:hint="eastAsia" w:ascii="仿宋" w:hAnsi="仿宋" w:eastAsia="仿宋" w:cs="宋体"/>
          <w:b/>
          <w:sz w:val="28"/>
          <w:szCs w:val="28"/>
        </w:rPr>
        <w:t>2022年实习情况一览表</w:t>
      </w:r>
    </w:p>
    <w:tbl>
      <w:tblPr>
        <w:tblStyle w:val="10"/>
        <w:tblW w:w="0" w:type="auto"/>
        <w:jc w:val="center"/>
        <w:tblLayout w:type="autofit"/>
        <w:tblCellMar>
          <w:top w:w="0" w:type="dxa"/>
          <w:left w:w="108" w:type="dxa"/>
          <w:bottom w:w="0" w:type="dxa"/>
          <w:right w:w="108" w:type="dxa"/>
        </w:tblCellMar>
      </w:tblPr>
      <w:tblGrid>
        <w:gridCol w:w="1245"/>
        <w:gridCol w:w="1275"/>
        <w:gridCol w:w="3418"/>
        <w:gridCol w:w="1060"/>
        <w:gridCol w:w="1441"/>
      </w:tblGrid>
      <w:tr>
        <w:tblPrEx>
          <w:tblCellMar>
            <w:top w:w="0" w:type="dxa"/>
            <w:left w:w="108" w:type="dxa"/>
            <w:bottom w:w="0" w:type="dxa"/>
            <w:right w:w="108" w:type="dxa"/>
          </w:tblCellMar>
        </w:tblPrEx>
        <w:trPr>
          <w:trHeight w:val="450" w:hRule="atLeast"/>
          <w:jc w:val="center"/>
        </w:trPr>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b/>
                <w:bCs/>
                <w:color w:val="000000"/>
                <w:sz w:val="21"/>
                <w:szCs w:val="21"/>
              </w:rPr>
            </w:pPr>
            <w:r>
              <w:rPr>
                <w:rFonts w:hint="default" w:ascii="Times New Roman" w:hAnsi="Times New Roman" w:eastAsia="宋体" w:cs="Times New Roman"/>
                <w:b/>
                <w:bCs/>
                <w:color w:val="000000"/>
                <w:kern w:val="0"/>
                <w:sz w:val="21"/>
                <w:szCs w:val="21"/>
                <w:lang w:bidi="ar"/>
              </w:rPr>
              <w:t>班级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b/>
                <w:bCs/>
                <w:color w:val="000000"/>
                <w:sz w:val="21"/>
                <w:szCs w:val="21"/>
              </w:rPr>
            </w:pPr>
            <w:r>
              <w:rPr>
                <w:rFonts w:hint="default" w:ascii="Times New Roman" w:hAnsi="Times New Roman" w:eastAsia="宋体" w:cs="Times New Roman"/>
                <w:b/>
                <w:bCs/>
                <w:color w:val="000000"/>
                <w:kern w:val="0"/>
                <w:sz w:val="21"/>
                <w:szCs w:val="21"/>
                <w:lang w:bidi="ar"/>
              </w:rPr>
              <w:t>姓名</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b/>
                <w:bCs/>
                <w:color w:val="000000"/>
                <w:sz w:val="21"/>
                <w:szCs w:val="21"/>
              </w:rPr>
            </w:pPr>
            <w:r>
              <w:rPr>
                <w:rFonts w:hint="default" w:ascii="Times New Roman" w:hAnsi="Times New Roman" w:eastAsia="宋体" w:cs="Times New Roman"/>
                <w:b/>
                <w:bCs/>
                <w:color w:val="000000"/>
                <w:kern w:val="0"/>
                <w:sz w:val="21"/>
                <w:szCs w:val="21"/>
                <w:lang w:bidi="ar"/>
              </w:rPr>
              <w:t>实习单位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b/>
                <w:bCs/>
                <w:color w:val="000000"/>
                <w:sz w:val="21"/>
                <w:szCs w:val="21"/>
              </w:rPr>
            </w:pPr>
            <w:r>
              <w:rPr>
                <w:rFonts w:hint="default" w:ascii="Times New Roman" w:hAnsi="Times New Roman" w:eastAsia="宋体" w:cs="Times New Roman"/>
                <w:b/>
                <w:bCs/>
                <w:color w:val="000000"/>
                <w:kern w:val="0"/>
                <w:sz w:val="21"/>
                <w:szCs w:val="21"/>
                <w:lang w:bidi="ar"/>
              </w:rPr>
              <w:t>实习岗位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b/>
                <w:bCs/>
                <w:color w:val="000000"/>
                <w:sz w:val="21"/>
                <w:szCs w:val="21"/>
              </w:rPr>
            </w:pPr>
            <w:r>
              <w:rPr>
                <w:rFonts w:hint="default" w:ascii="Times New Roman" w:hAnsi="Times New Roman" w:eastAsia="宋体" w:cs="Times New Roman"/>
                <w:b/>
                <w:bCs/>
                <w:color w:val="000000"/>
                <w:kern w:val="0"/>
                <w:sz w:val="21"/>
                <w:szCs w:val="21"/>
                <w:lang w:bidi="ar"/>
              </w:rPr>
              <w:t>实习时间</w:t>
            </w:r>
          </w:p>
        </w:tc>
      </w:tr>
      <w:tr>
        <w:tblPrEx>
          <w:tblCellMar>
            <w:top w:w="0" w:type="dxa"/>
            <w:left w:w="108" w:type="dxa"/>
            <w:bottom w:w="0" w:type="dxa"/>
            <w:right w:w="108" w:type="dxa"/>
          </w:tblCellMar>
        </w:tblPrEx>
        <w:trPr>
          <w:trHeight w:val="450" w:hRule="atLeast"/>
          <w:jc w:val="center"/>
        </w:trPr>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21保险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李建林</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北京健康之家科技有限公司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开发岗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2022.6-2022.8</w:t>
            </w:r>
          </w:p>
        </w:tc>
      </w:tr>
      <w:tr>
        <w:tblPrEx>
          <w:tblCellMar>
            <w:top w:w="0" w:type="dxa"/>
            <w:left w:w="108" w:type="dxa"/>
            <w:bottom w:w="0" w:type="dxa"/>
            <w:right w:w="108" w:type="dxa"/>
          </w:tblCellMar>
        </w:tblPrEx>
        <w:trPr>
          <w:trHeight w:val="450" w:hRule="atLeast"/>
          <w:jc w:val="center"/>
        </w:trPr>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21保险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李珂昕</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息县人民医院医保科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助理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2022.5-2022.7</w:t>
            </w:r>
          </w:p>
        </w:tc>
      </w:tr>
      <w:tr>
        <w:tblPrEx>
          <w:tblCellMar>
            <w:top w:w="0" w:type="dxa"/>
            <w:left w:w="108" w:type="dxa"/>
            <w:bottom w:w="0" w:type="dxa"/>
            <w:right w:w="108" w:type="dxa"/>
          </w:tblCellMar>
        </w:tblPrEx>
        <w:trPr>
          <w:trHeight w:val="450" w:hRule="atLeast"/>
          <w:jc w:val="center"/>
        </w:trPr>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21保险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薛楷凡</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线上众安保险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承保岗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2022.5-2022.7</w:t>
            </w:r>
          </w:p>
        </w:tc>
      </w:tr>
      <w:tr>
        <w:tblPrEx>
          <w:tblCellMar>
            <w:top w:w="0" w:type="dxa"/>
            <w:left w:w="108" w:type="dxa"/>
            <w:bottom w:w="0" w:type="dxa"/>
            <w:right w:w="108" w:type="dxa"/>
          </w:tblCellMar>
        </w:tblPrEx>
        <w:trPr>
          <w:trHeight w:val="607" w:hRule="atLeast"/>
          <w:jc w:val="center"/>
        </w:trPr>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21保险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张建磊</w:t>
            </w:r>
          </w:p>
        </w:tc>
        <w:tc>
          <w:tcPr>
            <w:tcW w:w="3418" w:type="dxa"/>
            <w:tcBorders>
              <w:top w:val="single" w:color="000000" w:sz="4" w:space="0"/>
              <w:left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线上众安保险</w:t>
            </w:r>
          </w:p>
        </w:tc>
        <w:tc>
          <w:tcPr>
            <w:tcW w:w="0" w:type="auto"/>
            <w:tcBorders>
              <w:top w:val="single" w:color="000000" w:sz="4" w:space="0"/>
              <w:left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承保岗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2022.5-2022.7</w:t>
            </w:r>
          </w:p>
        </w:tc>
      </w:tr>
      <w:tr>
        <w:tblPrEx>
          <w:tblCellMar>
            <w:top w:w="0" w:type="dxa"/>
            <w:left w:w="108" w:type="dxa"/>
            <w:bottom w:w="0" w:type="dxa"/>
            <w:right w:w="108" w:type="dxa"/>
          </w:tblCellMar>
        </w:tblPrEx>
        <w:trPr>
          <w:trHeight w:val="450" w:hRule="atLeast"/>
          <w:jc w:val="center"/>
        </w:trPr>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21保险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孔德鑫</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线上众安保险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承保岗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2022.5-2022.7</w:t>
            </w:r>
          </w:p>
        </w:tc>
      </w:tr>
      <w:tr>
        <w:tblPrEx>
          <w:tblCellMar>
            <w:top w:w="0" w:type="dxa"/>
            <w:left w:w="108" w:type="dxa"/>
            <w:bottom w:w="0" w:type="dxa"/>
            <w:right w:w="108" w:type="dxa"/>
          </w:tblCellMar>
        </w:tblPrEx>
        <w:trPr>
          <w:trHeight w:val="450" w:hRule="atLeast"/>
          <w:jc w:val="center"/>
        </w:trPr>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21保险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肖丽娟</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燕赵财险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理赔岗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2022.5-2022.7</w:t>
            </w:r>
          </w:p>
        </w:tc>
      </w:tr>
      <w:tr>
        <w:tblPrEx>
          <w:tblCellMar>
            <w:top w:w="0" w:type="dxa"/>
            <w:left w:w="108" w:type="dxa"/>
            <w:bottom w:w="0" w:type="dxa"/>
            <w:right w:w="108" w:type="dxa"/>
          </w:tblCellMar>
        </w:tblPrEx>
        <w:trPr>
          <w:trHeight w:val="450" w:hRule="atLeast"/>
          <w:jc w:val="center"/>
        </w:trPr>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21保险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李傲</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燕赵财险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产品开发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kern w:val="0"/>
                <w:sz w:val="21"/>
                <w:szCs w:val="21"/>
                <w:lang w:bidi="ar"/>
              </w:rPr>
            </w:pPr>
            <w:r>
              <w:rPr>
                <w:rFonts w:hint="default" w:ascii="Times New Roman" w:hAnsi="Times New Roman" w:eastAsia="宋体" w:cs="Times New Roman"/>
                <w:color w:val="000000"/>
                <w:kern w:val="0"/>
                <w:sz w:val="21"/>
                <w:szCs w:val="21"/>
                <w:lang w:bidi="ar"/>
              </w:rPr>
              <w:t>2022.5-2022.7</w:t>
            </w:r>
          </w:p>
        </w:tc>
      </w:tr>
      <w:tr>
        <w:tblPrEx>
          <w:tblCellMar>
            <w:top w:w="0" w:type="dxa"/>
            <w:left w:w="108" w:type="dxa"/>
            <w:bottom w:w="0" w:type="dxa"/>
            <w:right w:w="108" w:type="dxa"/>
          </w:tblCellMar>
        </w:tblPrEx>
        <w:trPr>
          <w:trHeight w:val="450" w:hRule="atLeast"/>
          <w:jc w:val="center"/>
        </w:trPr>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21保险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安新</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燕赵财险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业务助理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2022.5-2022.7</w:t>
            </w:r>
          </w:p>
        </w:tc>
      </w:tr>
      <w:tr>
        <w:tblPrEx>
          <w:tblCellMar>
            <w:top w:w="0" w:type="dxa"/>
            <w:left w:w="108" w:type="dxa"/>
            <w:bottom w:w="0" w:type="dxa"/>
            <w:right w:w="108" w:type="dxa"/>
          </w:tblCellMar>
        </w:tblPrEx>
        <w:trPr>
          <w:trHeight w:val="450" w:hRule="atLeast"/>
          <w:jc w:val="center"/>
        </w:trPr>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21保险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陈映雪</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中国人民财险保险股份有限公司保定市分公司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理赔岗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2022.5-2022.7</w:t>
            </w:r>
          </w:p>
        </w:tc>
      </w:tr>
      <w:tr>
        <w:tblPrEx>
          <w:tblCellMar>
            <w:top w:w="0" w:type="dxa"/>
            <w:left w:w="108" w:type="dxa"/>
            <w:bottom w:w="0" w:type="dxa"/>
            <w:right w:w="108" w:type="dxa"/>
          </w:tblCellMar>
        </w:tblPrEx>
        <w:trPr>
          <w:trHeight w:val="450" w:hRule="atLeast"/>
          <w:jc w:val="center"/>
        </w:trPr>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21保险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李皓璠</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中国人民财险保险股份有限公司保定市分公司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综合岗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2022.5-2022.7</w:t>
            </w:r>
          </w:p>
        </w:tc>
      </w:tr>
      <w:tr>
        <w:tblPrEx>
          <w:tblCellMar>
            <w:top w:w="0" w:type="dxa"/>
            <w:left w:w="108" w:type="dxa"/>
            <w:bottom w:w="0" w:type="dxa"/>
            <w:right w:w="108" w:type="dxa"/>
          </w:tblCellMar>
        </w:tblPrEx>
        <w:trPr>
          <w:trHeight w:val="450" w:hRule="atLeast"/>
          <w:jc w:val="center"/>
        </w:trPr>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21保险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陈晓男</w:t>
            </w:r>
          </w:p>
        </w:tc>
        <w:tc>
          <w:tcPr>
            <w:tcW w:w="34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中国人民财险保险股份有限公司保定市分公司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理赔岗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12" w:lineRule="auto"/>
              <w:jc w:val="center"/>
              <w:textAlignment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bidi="ar"/>
              </w:rPr>
              <w:t>2022.5-2022.7</w:t>
            </w:r>
          </w:p>
        </w:tc>
      </w:tr>
    </w:tbl>
    <w:p>
      <w:pPr>
        <w:pStyle w:val="2"/>
        <w:spacing w:line="560" w:lineRule="exact"/>
        <w:ind w:firstLine="643"/>
        <w:rPr>
          <w:rFonts w:ascii="仿宋" w:hAnsi="仿宋" w:eastAsia="仿宋" w:cs="仿宋"/>
          <w:b/>
          <w:bCs/>
          <w:sz w:val="32"/>
          <w:szCs w:val="32"/>
        </w:rPr>
      </w:pPr>
      <w:r>
        <w:rPr>
          <w:rFonts w:hint="eastAsia" w:ascii="仿宋" w:hAnsi="仿宋" w:eastAsia="仿宋" w:cs="仿宋"/>
          <w:b/>
          <w:bCs/>
          <w:sz w:val="32"/>
          <w:szCs w:val="32"/>
        </w:rPr>
        <w:t>3.6学术交流</w:t>
      </w:r>
    </w:p>
    <w:p>
      <w:pPr>
        <w:pStyle w:val="2"/>
        <w:spacing w:line="560" w:lineRule="exact"/>
        <w:ind w:firstLine="640"/>
        <w:rPr>
          <w:rFonts w:hint="eastAsia" w:ascii="仿宋" w:hAnsi="仿宋" w:eastAsia="仿宋" w:cs="仿宋"/>
        </w:rPr>
      </w:pPr>
      <w:r>
        <w:rPr>
          <w:rFonts w:hint="eastAsia" w:ascii="仿宋" w:hAnsi="仿宋" w:eastAsia="仿宋" w:cs="仿宋"/>
          <w:sz w:val="32"/>
          <w:szCs w:val="32"/>
        </w:rPr>
        <w:t>疫情防控要求下，2022年学术交流活动减少，大多以线上的方式参与到各类学术活动中，聘请校外专家讲座也基本采用线上方式。经济学院的“经济视界”学术研究活动基本如期进行，正常的教学周内每周四一场，主讲人以学院各个专业的骨干教师为主，充分可用了学科资源，学科交叉，碰撞出许多学术的新思路。保险专业研究生全程听讲。</w:t>
      </w:r>
    </w:p>
    <w:p>
      <w:pPr>
        <w:rPr>
          <w:rFonts w:hint="eastAsia"/>
        </w:rPr>
      </w:pPr>
    </w:p>
    <w:p>
      <w:pPr>
        <w:pStyle w:val="2"/>
        <w:spacing w:line="600" w:lineRule="exact"/>
        <w:rPr>
          <w:rFonts w:hint="eastAsia"/>
        </w:rPr>
      </w:pPr>
    </w:p>
    <w:p>
      <w:pPr>
        <w:rPr>
          <w:rFonts w:hint="eastAsia"/>
        </w:rPr>
      </w:pPr>
    </w:p>
    <w:p>
      <w:pPr>
        <w:pStyle w:val="2"/>
        <w:spacing w:line="600" w:lineRule="exact"/>
        <w:ind w:firstLine="640"/>
        <w:rPr>
          <w:rFonts w:ascii="黑体" w:hAnsi="黑体" w:eastAsia="黑体" w:cs="Times New Roman"/>
          <w:sz w:val="32"/>
          <w:szCs w:val="32"/>
        </w:rPr>
      </w:pPr>
    </w:p>
    <w:p>
      <w:pPr>
        <w:spacing w:line="560" w:lineRule="exact"/>
        <w:jc w:val="center"/>
        <w:rPr>
          <w:rFonts w:ascii="仿宋" w:hAnsi="仿宋" w:eastAsia="仿宋" w:cs="宋体"/>
          <w:b/>
          <w:sz w:val="28"/>
          <w:szCs w:val="28"/>
        </w:rPr>
      </w:pPr>
      <w:r>
        <w:rPr>
          <w:rFonts w:hint="eastAsia" w:ascii="仿宋" w:hAnsi="仿宋" w:eastAsia="仿宋" w:cs="宋体"/>
          <w:b/>
          <w:sz w:val="28"/>
          <w:szCs w:val="28"/>
        </w:rPr>
        <w:t>表5  2022年学术交流活动一览表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2946"/>
        <w:gridCol w:w="2211"/>
        <w:gridCol w:w="3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时间</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会议名称</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参加人员</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参加形式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2022.7</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中国保险与风险管理国际年会</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全体21保险专硕学生</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2022.10</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北大赛瑟（CCISSR）论坛</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全体21保险专硕学生</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2022.7</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第六届中国金融教育发展论坛</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尹成远</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参会并发言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2022.4</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第十一届区域金融年会</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尹成远</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投稿并发言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2022.11</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第八届“中国金融管理年会”</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全体教师和研究生</w:t>
            </w:r>
          </w:p>
        </w:tc>
        <w:tc>
          <w:tcPr>
            <w:tcW w:w="0" w:type="auto"/>
            <w:shd w:val="clear" w:color="auto" w:fill="auto"/>
          </w:tcPr>
          <w:p>
            <w:pPr>
              <w:pStyle w:val="2"/>
              <w:spacing w:line="312" w:lineRule="auto"/>
              <w:ind w:firstLine="0" w:firstLineChars="0"/>
              <w:rPr>
                <w:rFonts w:ascii="Times New Roman" w:hAnsi="Times New Roman" w:eastAsia="宋体" w:cs="Times New Roman"/>
                <w:sz w:val="21"/>
                <w:szCs w:val="21"/>
              </w:rPr>
            </w:pPr>
            <w:r>
              <w:rPr>
                <w:rFonts w:hint="default" w:ascii="Times New Roman" w:hAnsi="Times New Roman" w:eastAsia="宋体" w:cs="Times New Roman"/>
                <w:sz w:val="21"/>
                <w:szCs w:val="21"/>
              </w:rPr>
              <w:t>主办会议，并多人做分论坛发言</w:t>
            </w:r>
          </w:p>
        </w:tc>
      </w:tr>
    </w:tbl>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3.7论文质量提升建设</w:t>
      </w:r>
    </w:p>
    <w:p>
      <w:pPr>
        <w:pStyle w:val="2"/>
        <w:spacing w:line="560" w:lineRule="exact"/>
        <w:ind w:firstLine="640"/>
        <w:rPr>
          <w:rFonts w:ascii="仿宋" w:hAnsi="仿宋" w:eastAsia="仿宋" w:cs="宋体"/>
          <w:sz w:val="32"/>
          <w:szCs w:val="32"/>
        </w:rPr>
      </w:pPr>
      <w:r>
        <w:rPr>
          <w:rFonts w:hint="eastAsia" w:ascii="仿宋" w:hAnsi="仿宋" w:eastAsia="仿宋" w:cs="宋体"/>
          <w:sz w:val="32"/>
          <w:szCs w:val="32"/>
        </w:rPr>
        <w:t>学校和学院建立的完善的论文质量保证制度，包括预答辩、内审、查重、盲审等，有效的保证了论文质量。本专业2022年度13篇毕业论文全部通过平台盲审，同时，全部通过学位论文学术不端行为检测系统审查，全部通过毕业论文答辩，论文整体质量较好。</w:t>
      </w:r>
    </w:p>
    <w:p>
      <w:pPr>
        <w:spacing w:line="560" w:lineRule="exact"/>
        <w:rPr>
          <w:rFonts w:ascii="仿宋" w:hAnsi="仿宋" w:eastAsia="仿宋" w:cs="宋体"/>
          <w:sz w:val="32"/>
          <w:szCs w:val="32"/>
        </w:rPr>
      </w:pPr>
      <w:r>
        <w:rPr>
          <w:rFonts w:hint="eastAsia" w:ascii="仿宋" w:hAnsi="仿宋" w:eastAsia="仿宋" w:cs="宋体"/>
          <w:sz w:val="32"/>
          <w:szCs w:val="32"/>
        </w:rPr>
        <w:t xml:space="preserve">    但是结合评估要求和行业对于专硕培养的要求，论文的直接应用性和实践性有待提升。2022年论文依然集中在实证分析文章，体现专硕的案例、产品设计文章较少。</w:t>
      </w:r>
    </w:p>
    <w:p>
      <w:pPr>
        <w:pStyle w:val="2"/>
        <w:spacing w:line="560" w:lineRule="exact"/>
        <w:ind w:firstLine="640"/>
        <w:rPr>
          <w:rFonts w:ascii="仿宋" w:hAnsi="仿宋" w:eastAsia="仿宋" w:cs="宋体"/>
          <w:sz w:val="32"/>
          <w:szCs w:val="32"/>
        </w:rPr>
      </w:pPr>
      <w:r>
        <w:rPr>
          <w:rFonts w:hint="eastAsia" w:ascii="仿宋" w:hAnsi="仿宋" w:eastAsia="仿宋" w:cs="宋体"/>
          <w:sz w:val="32"/>
          <w:szCs w:val="32"/>
        </w:rPr>
        <w:t>2022年，全部2021级学生参与了河北省保险学会年度课题一年级，持续推进燕赵财险农业保险创新产品的设计工作，同时也积极联系校外导师，邀请其参加论文开题，将他们关心和研究的问题转化为学生的毕业论文课题研究。同时本专业延续了一直以来的预预答辩制度，更早的把控论文质量，同时校外导师全程参与开题、预预答辩和预答辩，有效提升毕业论的行业属性。</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3.8质量保证建设</w:t>
      </w:r>
    </w:p>
    <w:p>
      <w:pPr>
        <w:pStyle w:val="2"/>
        <w:spacing w:line="560" w:lineRule="exact"/>
        <w:ind w:firstLine="640"/>
        <w:rPr>
          <w:rFonts w:ascii="仿宋" w:hAnsi="仿宋" w:eastAsia="仿宋" w:cs="宋体"/>
          <w:sz w:val="32"/>
          <w:szCs w:val="32"/>
        </w:rPr>
      </w:pPr>
      <w:r>
        <w:rPr>
          <w:rFonts w:hint="eastAsia" w:ascii="仿宋" w:hAnsi="仿宋" w:eastAsia="仿宋" w:cs="宋体"/>
          <w:sz w:val="32"/>
          <w:szCs w:val="32"/>
        </w:rPr>
        <w:t>严格落实教育部2020年11月颁布的《研究生导师指导行为准则》，全面落实研究生导师立德树人职责。扎实推进《国务院学位委员会、教育部关于进一步严格规范学位与研究生教育质量管理的若干意见》，以习近平新时代中国特色社会主义思想为指导，深入学习贯彻落实党的十九大和十九届二中、三中、四中全会精神，全面贯彻落实全国教育大会和全国研究生教育会议精神，紧紧围绕统筹推进“五位一体”总体布局和协调推进“四个全面”战略布局，全面贯彻党的教育方针，落实立德树人根本任务，推进研究生教育治理体系和治理能力现代化，坚持把思想政治工作贯穿研究生教育教学全过程。遵循规律，严格制度，强化落实，整治不良学风，遏止学术不端，营造风清气正的育人环境和求真务实的学术氛围，努力提高学位与研究生教育质量。</w:t>
      </w:r>
    </w:p>
    <w:p>
      <w:pPr>
        <w:spacing w:line="560" w:lineRule="exact"/>
        <w:rPr>
          <w:rFonts w:ascii="仿宋" w:hAnsi="仿宋" w:eastAsia="仿宋" w:cs="宋体"/>
          <w:sz w:val="32"/>
          <w:szCs w:val="32"/>
        </w:rPr>
      </w:pPr>
      <w:r>
        <w:rPr>
          <w:rFonts w:hint="eastAsia" w:ascii="仿宋" w:hAnsi="仿宋" w:eastAsia="仿宋" w:cs="宋体"/>
          <w:sz w:val="32"/>
          <w:szCs w:val="32"/>
        </w:rPr>
        <w:t xml:space="preserve">    认真落实河北大学关于“课程建设”、“中期筛选”、“学术不端”等一系列质量保障文件精神，推进质量保证制度建设，提升本学位点研究生培养质量。</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3.9学风建设</w:t>
      </w:r>
    </w:p>
    <w:p>
      <w:pPr>
        <w:pStyle w:val="2"/>
        <w:spacing w:line="560" w:lineRule="exact"/>
        <w:ind w:firstLine="640"/>
        <w:rPr>
          <w:rFonts w:ascii="仿宋" w:hAnsi="仿宋" w:eastAsia="仿宋" w:cs="宋体"/>
          <w:sz w:val="32"/>
          <w:szCs w:val="32"/>
        </w:rPr>
      </w:pPr>
      <w:r>
        <w:rPr>
          <w:rFonts w:hint="eastAsia" w:ascii="仿宋" w:hAnsi="仿宋" w:eastAsia="仿宋" w:cs="宋体"/>
          <w:sz w:val="32"/>
          <w:szCs w:val="32"/>
        </w:rPr>
        <w:t>河北大学一直重视研究生科学道德和学术规范方面的教育，把学术道德和学术规范列为新生入学教育的重点内容。学校层面，组织研究生学习《河北大学学术道德规范》《河北大学学术不端行为处理暂行办法》《河北大学对学位论文抄袭剽窃、弄虚作假行为的处理办法》等政策法规，分析学术不端对个人、学校乃至社会的危害，充分认识遵守科学道德和学术规范的重要性，自觉按照教育部、学校的有关制度规范自己的学术行为。学院层面，通过多种形式的学术训练或学术实践，激发学生从事保险科学研究的兴趣，提高研究生研读文献、创新性学习的能力，为遵守学术道德规范提供技术保障。截至目前，保险学位点学术风气良好，近年来没有出现违反学术道德的行为。</w:t>
      </w:r>
    </w:p>
    <w:p>
      <w:pPr>
        <w:pStyle w:val="2"/>
        <w:spacing w:line="560" w:lineRule="exact"/>
        <w:ind w:firstLine="643"/>
        <w:rPr>
          <w:rFonts w:ascii="仿宋" w:hAnsi="仿宋" w:eastAsia="仿宋" w:cs="宋体"/>
          <w:b/>
          <w:bCs/>
          <w:sz w:val="32"/>
          <w:szCs w:val="32"/>
        </w:rPr>
      </w:pPr>
      <w:r>
        <w:rPr>
          <w:rFonts w:hint="eastAsia" w:ascii="仿宋" w:hAnsi="仿宋" w:eastAsia="仿宋" w:cs="宋体"/>
          <w:b/>
          <w:bCs/>
          <w:sz w:val="32"/>
          <w:szCs w:val="32"/>
        </w:rPr>
        <w:t>3.10管理服务建设</w:t>
      </w:r>
    </w:p>
    <w:p>
      <w:pPr>
        <w:spacing w:line="560" w:lineRule="exact"/>
        <w:ind w:firstLine="640" w:firstLineChars="200"/>
        <w:rPr>
          <w:rFonts w:ascii="仿宋" w:hAnsi="仿宋" w:eastAsia="仿宋" w:cs="宋体"/>
          <w:color w:val="000000"/>
          <w:sz w:val="32"/>
          <w:szCs w:val="32"/>
        </w:rPr>
      </w:pPr>
      <w:r>
        <w:rPr>
          <w:rFonts w:hint="eastAsia" w:ascii="仿宋" w:hAnsi="仿宋" w:eastAsia="仿宋" w:cs="宋体"/>
          <w:color w:val="000000"/>
          <w:sz w:val="32"/>
          <w:szCs w:val="32"/>
        </w:rPr>
        <w:t>本学位点设立了研究生权益保障制度，研究生可以通过教研室、系、学院逐级申诉，确保自己的合法权益。如学位申请人及指导教师对论文评审结果有异议，可按照《河北大学研究生学位论文评审复议管理规定（试行）》申请评审复议。</w:t>
      </w:r>
    </w:p>
    <w:p>
      <w:pPr>
        <w:spacing w:line="560" w:lineRule="exact"/>
        <w:ind w:firstLine="640" w:firstLineChars="200"/>
        <w:rPr>
          <w:rFonts w:ascii="仿宋" w:hAnsi="仿宋" w:eastAsia="仿宋" w:cs="宋体"/>
          <w:color w:val="000000"/>
          <w:sz w:val="32"/>
          <w:szCs w:val="32"/>
        </w:rPr>
      </w:pPr>
      <w:r>
        <w:rPr>
          <w:rFonts w:hint="eastAsia" w:ascii="仿宋" w:hAnsi="仿宋" w:eastAsia="仿宋" w:cs="宋体"/>
          <w:color w:val="000000"/>
          <w:sz w:val="32"/>
          <w:szCs w:val="32"/>
        </w:rPr>
        <w:t>河北大学学校、学院两级研究生管理机构健全，职能明确。学校设有研究生学院、学科建设与学位管理处等行政机构，设有学位评定委员会、学术委员会等学术组织。经济学院设有科研科等行政机构，设有学位评定分委员会、学术分委员会等学术组织。各机构职能明确，运转有效。</w:t>
      </w:r>
    </w:p>
    <w:p>
      <w:pPr>
        <w:spacing w:line="560" w:lineRule="exact"/>
        <w:ind w:firstLine="640" w:firstLineChars="200"/>
        <w:rPr>
          <w:rFonts w:ascii="仿宋" w:hAnsi="仿宋" w:eastAsia="仿宋" w:cs="宋体"/>
          <w:color w:val="000000"/>
          <w:sz w:val="32"/>
          <w:szCs w:val="32"/>
        </w:rPr>
      </w:pPr>
      <w:r>
        <w:rPr>
          <w:rFonts w:hint="eastAsia" w:ascii="仿宋" w:hAnsi="仿宋" w:eastAsia="仿宋" w:cs="宋体"/>
          <w:color w:val="000000"/>
          <w:sz w:val="32"/>
          <w:szCs w:val="32"/>
        </w:rPr>
        <w:t>这些机构每年度都按照时间节点围绕学生的毕业或者毕业论文的争议开展工作，比如，每年论文经过外审后，都有被认定为问题论文的情况，学院学术分委员会再进行评定，对有些论文提出可以再复审的决定，以保障学生权益。</w:t>
      </w:r>
    </w:p>
    <w:p>
      <w:pPr>
        <w:spacing w:line="560" w:lineRule="exact"/>
        <w:ind w:firstLine="640" w:firstLineChars="200"/>
        <w:rPr>
          <w:rFonts w:ascii="仿宋" w:hAnsi="仿宋" w:eastAsia="仿宋" w:cs="仿宋"/>
          <w:color w:val="000000"/>
          <w:sz w:val="32"/>
          <w:szCs w:val="32"/>
        </w:rPr>
      </w:pPr>
      <w:r>
        <w:rPr>
          <w:rFonts w:hint="eastAsia" w:ascii="仿宋" w:hAnsi="仿宋" w:eastAsia="仿宋" w:cs="宋体"/>
          <w:color w:val="000000"/>
          <w:sz w:val="32"/>
          <w:szCs w:val="32"/>
        </w:rPr>
        <w:t>组建研究生会。学院专门配备主管研究生的副处级书记一名、团委书记一名、研究生秘书一名及专兼职辅导员若干名，组建了研究生会，旨在全心全意为研究生服务，及时反映研究生生活、学习等各方面权益诉求，充分发挥好学院与研究生之间的桥梁纽带作用，合理有序地表达和维护研究生正当权益，助推研究生成长成才。</w:t>
      </w:r>
      <w:r>
        <w:rPr>
          <w:rFonts w:ascii="仿宋" w:hAnsi="仿宋" w:eastAsia="仿宋" w:cs="仿宋"/>
          <w:color w:val="000000"/>
          <w:sz w:val="32"/>
          <w:szCs w:val="32"/>
        </w:rPr>
        <w:t xml:space="preserve"> </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3.11就业发展情况</w:t>
      </w:r>
    </w:p>
    <w:p>
      <w:pPr>
        <w:snapToGrid/>
        <w:spacing w:line="560" w:lineRule="exact"/>
        <w:ind w:firstLine="640" w:firstLineChars="200"/>
        <w:rPr>
          <w:rFonts w:hint="eastAsia" w:ascii="仿宋" w:hAnsi="仿宋" w:eastAsia="仿宋" w:cs="宋体"/>
          <w:szCs w:val="32"/>
        </w:rPr>
      </w:pPr>
      <w:r>
        <w:rPr>
          <w:rFonts w:hint="eastAsia" w:ascii="仿宋" w:hAnsi="仿宋" w:eastAsia="仿宋" w:cs="宋体"/>
          <w:sz w:val="32"/>
          <w:szCs w:val="32"/>
        </w:rPr>
        <w:t>2022年，保险硕士学位点共毕业研究生13人，主要有签约就业、读博深造四类，具体比例分布如下表所示。</w:t>
      </w:r>
    </w:p>
    <w:p>
      <w:pPr>
        <w:pStyle w:val="2"/>
        <w:rPr>
          <w:rFonts w:hint="eastAsia"/>
        </w:rPr>
      </w:pPr>
    </w:p>
    <w:p>
      <w:pPr>
        <w:spacing w:line="312" w:lineRule="auto"/>
        <w:ind w:firstLine="420" w:firstLineChars="200"/>
        <w:jc w:val="center"/>
        <w:rPr>
          <w:rFonts w:hint="eastAsia" w:ascii="Times New Roman" w:hAnsi="Times New Roman" w:eastAsia="宋体"/>
          <w:bCs/>
          <w:sz w:val="21"/>
          <w:szCs w:val="21"/>
        </w:rPr>
      </w:pPr>
    </w:p>
    <w:p>
      <w:pPr>
        <w:spacing w:line="312" w:lineRule="auto"/>
        <w:ind w:firstLine="420" w:firstLineChars="200"/>
        <w:jc w:val="center"/>
        <w:rPr>
          <w:rFonts w:ascii="Times New Roman" w:hAnsi="Times New Roman" w:eastAsia="宋体" w:cs="Times New Roman"/>
          <w:bCs/>
          <w:sz w:val="21"/>
          <w:szCs w:val="21"/>
        </w:rPr>
      </w:pPr>
      <w:r>
        <w:rPr>
          <w:rFonts w:hint="default" w:ascii="Times New Roman" w:hAnsi="Times New Roman" w:eastAsia="宋体" w:cs="Times New Roman"/>
          <w:bCs/>
          <w:sz w:val="21"/>
          <w:szCs w:val="21"/>
        </w:rPr>
        <w:t xml:space="preserve">表6 </w:t>
      </w:r>
      <w:r>
        <w:rPr>
          <w:rFonts w:hint="eastAsia" w:ascii="Times New Roman" w:hAnsi="Times New Roman" w:eastAsia="宋体"/>
          <w:bCs/>
          <w:sz w:val="21"/>
          <w:szCs w:val="21"/>
        </w:rPr>
        <w:t xml:space="preserve"> </w:t>
      </w:r>
      <w:r>
        <w:rPr>
          <w:rFonts w:hint="default" w:ascii="Times New Roman" w:hAnsi="Times New Roman" w:eastAsia="宋体" w:cs="Times New Roman"/>
          <w:bCs/>
          <w:sz w:val="21"/>
          <w:szCs w:val="21"/>
        </w:rPr>
        <w:t>研究生就业方式比率表</w:t>
      </w:r>
    </w:p>
    <w:tbl>
      <w:tblPr>
        <w:tblStyle w:val="10"/>
        <w:tblW w:w="0" w:type="auto"/>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45"/>
        <w:gridCol w:w="1452"/>
        <w:gridCol w:w="1236"/>
        <w:gridCol w:w="1469"/>
        <w:gridCol w:w="1613"/>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45" w:type="dxa"/>
            <w:tcBorders>
              <w:bottom w:val="single" w:color="000000" w:sz="6" w:space="0"/>
              <w:right w:val="single" w:color="000000" w:sz="6" w:space="0"/>
            </w:tcBorders>
            <w:shd w:val="clear" w:color="auto" w:fill="auto"/>
            <w:vAlign w:val="center"/>
          </w:tcPr>
          <w:p>
            <w:pPr>
              <w:spacing w:line="312" w:lineRule="auto"/>
              <w:jc w:val="center"/>
              <w:rPr>
                <w:rFonts w:ascii="Times New Roman" w:hAnsi="Times New Roman" w:eastAsia="宋体" w:cs="Times New Roman"/>
                <w:bCs/>
                <w:iCs/>
                <w:sz w:val="21"/>
                <w:szCs w:val="21"/>
              </w:rPr>
            </w:pPr>
            <w:r>
              <w:rPr>
                <w:rFonts w:hint="default" w:ascii="Times New Roman" w:hAnsi="Times New Roman" w:eastAsia="宋体" w:cs="Times New Roman"/>
                <w:bCs/>
                <w:iCs/>
                <w:sz w:val="21"/>
                <w:szCs w:val="21"/>
              </w:rPr>
              <w:t>就业方式</w:t>
            </w:r>
          </w:p>
        </w:tc>
        <w:tc>
          <w:tcPr>
            <w:tcW w:w="1452" w:type="dxa"/>
            <w:tcBorders>
              <w:bottom w:val="single" w:color="000000" w:sz="6" w:space="0"/>
            </w:tcBorders>
            <w:shd w:val="clear" w:color="auto" w:fill="auto"/>
            <w:vAlign w:val="center"/>
          </w:tcPr>
          <w:p>
            <w:pPr>
              <w:spacing w:line="312" w:lineRule="auto"/>
              <w:jc w:val="center"/>
              <w:rPr>
                <w:rFonts w:ascii="Times New Roman" w:hAnsi="Times New Roman" w:eastAsia="宋体" w:cs="Times New Roman"/>
                <w:bCs/>
                <w:iCs/>
                <w:sz w:val="21"/>
                <w:szCs w:val="21"/>
              </w:rPr>
            </w:pPr>
            <w:r>
              <w:rPr>
                <w:rFonts w:hint="default" w:ascii="Times New Roman" w:hAnsi="Times New Roman" w:eastAsia="宋体" w:cs="Times New Roman"/>
                <w:bCs/>
                <w:iCs/>
                <w:sz w:val="21"/>
                <w:szCs w:val="21"/>
              </w:rPr>
              <w:t>签约就业</w:t>
            </w:r>
          </w:p>
        </w:tc>
        <w:tc>
          <w:tcPr>
            <w:tcW w:w="1236" w:type="dxa"/>
            <w:tcBorders>
              <w:bottom w:val="single" w:color="000000" w:sz="6" w:space="0"/>
            </w:tcBorders>
            <w:shd w:val="clear" w:color="auto" w:fill="auto"/>
            <w:vAlign w:val="center"/>
          </w:tcPr>
          <w:p>
            <w:pPr>
              <w:spacing w:line="312" w:lineRule="auto"/>
              <w:jc w:val="center"/>
              <w:rPr>
                <w:rFonts w:ascii="Times New Roman" w:hAnsi="Times New Roman" w:eastAsia="宋体" w:cs="Times New Roman"/>
                <w:bCs/>
                <w:iCs/>
                <w:sz w:val="21"/>
                <w:szCs w:val="21"/>
              </w:rPr>
            </w:pPr>
            <w:r>
              <w:rPr>
                <w:rFonts w:hint="default" w:ascii="Times New Roman" w:hAnsi="Times New Roman" w:eastAsia="宋体" w:cs="Times New Roman"/>
                <w:bCs/>
                <w:iCs/>
                <w:sz w:val="21"/>
                <w:szCs w:val="21"/>
              </w:rPr>
              <w:t>合同就业</w:t>
            </w:r>
          </w:p>
        </w:tc>
        <w:tc>
          <w:tcPr>
            <w:tcW w:w="1469" w:type="dxa"/>
            <w:tcBorders>
              <w:bottom w:val="single" w:color="000000" w:sz="6" w:space="0"/>
            </w:tcBorders>
            <w:shd w:val="clear" w:color="auto" w:fill="auto"/>
            <w:vAlign w:val="center"/>
          </w:tcPr>
          <w:p>
            <w:pPr>
              <w:spacing w:line="312" w:lineRule="auto"/>
              <w:jc w:val="center"/>
              <w:rPr>
                <w:rFonts w:ascii="Times New Roman" w:hAnsi="Times New Roman" w:eastAsia="宋体" w:cs="Times New Roman"/>
                <w:bCs/>
                <w:iCs/>
                <w:sz w:val="21"/>
                <w:szCs w:val="21"/>
              </w:rPr>
            </w:pPr>
            <w:r>
              <w:rPr>
                <w:rFonts w:hint="default" w:ascii="Times New Roman" w:hAnsi="Times New Roman" w:eastAsia="宋体" w:cs="Times New Roman"/>
                <w:bCs/>
                <w:iCs/>
                <w:sz w:val="21"/>
                <w:szCs w:val="21"/>
              </w:rPr>
              <w:t>灵活就业</w:t>
            </w:r>
          </w:p>
        </w:tc>
        <w:tc>
          <w:tcPr>
            <w:tcW w:w="1613" w:type="dxa"/>
            <w:tcBorders>
              <w:bottom w:val="single" w:color="000000" w:sz="6" w:space="0"/>
            </w:tcBorders>
            <w:shd w:val="clear" w:color="auto" w:fill="auto"/>
            <w:vAlign w:val="center"/>
          </w:tcPr>
          <w:p>
            <w:pPr>
              <w:spacing w:line="312" w:lineRule="auto"/>
              <w:jc w:val="center"/>
              <w:rPr>
                <w:rFonts w:ascii="Times New Roman" w:hAnsi="Times New Roman" w:eastAsia="宋体" w:cs="Times New Roman"/>
                <w:bCs/>
                <w:iCs/>
                <w:sz w:val="21"/>
                <w:szCs w:val="21"/>
              </w:rPr>
            </w:pPr>
            <w:r>
              <w:rPr>
                <w:rFonts w:hint="default" w:ascii="Times New Roman" w:hAnsi="Times New Roman" w:eastAsia="宋体" w:cs="Times New Roman"/>
                <w:bCs/>
                <w:iCs/>
                <w:sz w:val="21"/>
                <w:szCs w:val="21"/>
              </w:rPr>
              <w:t>读博深造</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45" w:type="dxa"/>
            <w:tcBorders>
              <w:right w:val="single" w:color="000000" w:sz="6" w:space="0"/>
            </w:tcBorders>
            <w:shd w:val="clear" w:color="auto" w:fill="auto"/>
            <w:vAlign w:val="center"/>
          </w:tcPr>
          <w:p>
            <w:pPr>
              <w:spacing w:line="312" w:lineRule="auto"/>
              <w:jc w:val="center"/>
              <w:rPr>
                <w:rFonts w:ascii="Times New Roman" w:hAnsi="Times New Roman" w:eastAsia="宋体" w:cs="Times New Roman"/>
                <w:bCs/>
                <w:sz w:val="21"/>
                <w:szCs w:val="21"/>
              </w:rPr>
            </w:pPr>
            <w:r>
              <w:rPr>
                <w:rFonts w:hint="default" w:ascii="Times New Roman" w:hAnsi="Times New Roman" w:eastAsia="宋体" w:cs="Times New Roman"/>
                <w:bCs/>
                <w:sz w:val="21"/>
                <w:szCs w:val="21"/>
              </w:rPr>
              <w:t>人数</w:t>
            </w:r>
          </w:p>
        </w:tc>
        <w:tc>
          <w:tcPr>
            <w:tcW w:w="1452" w:type="dxa"/>
            <w:shd w:val="clear" w:color="auto" w:fill="auto"/>
            <w:vAlign w:val="center"/>
          </w:tcPr>
          <w:p>
            <w:pPr>
              <w:spacing w:line="312" w:lineRule="auto"/>
              <w:jc w:val="center"/>
              <w:rPr>
                <w:rFonts w:ascii="Times New Roman" w:hAnsi="Times New Roman" w:eastAsia="宋体" w:cs="Times New Roman"/>
                <w:bCs/>
                <w:sz w:val="21"/>
                <w:szCs w:val="21"/>
              </w:rPr>
            </w:pPr>
            <w:r>
              <w:rPr>
                <w:rFonts w:hint="default" w:ascii="Times New Roman" w:hAnsi="Times New Roman" w:eastAsia="宋体" w:cs="Times New Roman"/>
                <w:bCs/>
                <w:sz w:val="21"/>
                <w:szCs w:val="21"/>
              </w:rPr>
              <w:t>12</w:t>
            </w:r>
          </w:p>
        </w:tc>
        <w:tc>
          <w:tcPr>
            <w:tcW w:w="1236" w:type="dxa"/>
            <w:shd w:val="clear" w:color="auto" w:fill="auto"/>
            <w:vAlign w:val="center"/>
          </w:tcPr>
          <w:p>
            <w:pPr>
              <w:spacing w:line="312" w:lineRule="auto"/>
              <w:jc w:val="center"/>
              <w:rPr>
                <w:rFonts w:ascii="Times New Roman" w:hAnsi="Times New Roman" w:eastAsia="宋体" w:cs="Times New Roman"/>
                <w:bCs/>
                <w:sz w:val="21"/>
                <w:szCs w:val="21"/>
              </w:rPr>
            </w:pPr>
            <w:r>
              <w:rPr>
                <w:rFonts w:hint="default" w:ascii="Times New Roman" w:hAnsi="Times New Roman" w:eastAsia="宋体" w:cs="Times New Roman"/>
                <w:bCs/>
                <w:sz w:val="21"/>
                <w:szCs w:val="21"/>
              </w:rPr>
              <w:t>0</w:t>
            </w:r>
          </w:p>
        </w:tc>
        <w:tc>
          <w:tcPr>
            <w:tcW w:w="1469" w:type="dxa"/>
            <w:shd w:val="clear" w:color="auto" w:fill="auto"/>
            <w:vAlign w:val="center"/>
          </w:tcPr>
          <w:p>
            <w:pPr>
              <w:spacing w:line="312" w:lineRule="auto"/>
              <w:jc w:val="center"/>
              <w:rPr>
                <w:rFonts w:ascii="Times New Roman" w:hAnsi="Times New Roman" w:eastAsia="宋体" w:cs="Times New Roman"/>
                <w:bCs/>
                <w:sz w:val="21"/>
                <w:szCs w:val="21"/>
              </w:rPr>
            </w:pPr>
            <w:r>
              <w:rPr>
                <w:rFonts w:hint="default" w:ascii="Times New Roman" w:hAnsi="Times New Roman" w:eastAsia="宋体" w:cs="Times New Roman"/>
                <w:bCs/>
                <w:sz w:val="21"/>
                <w:szCs w:val="21"/>
              </w:rPr>
              <w:t>0</w:t>
            </w:r>
          </w:p>
        </w:tc>
        <w:tc>
          <w:tcPr>
            <w:tcW w:w="1613" w:type="dxa"/>
            <w:shd w:val="clear" w:color="auto" w:fill="auto"/>
            <w:vAlign w:val="center"/>
          </w:tcPr>
          <w:p>
            <w:pPr>
              <w:spacing w:line="312" w:lineRule="auto"/>
              <w:jc w:val="center"/>
              <w:rPr>
                <w:rFonts w:ascii="Times New Roman" w:hAnsi="Times New Roman" w:eastAsia="宋体" w:cs="Times New Roman"/>
                <w:bCs/>
                <w:sz w:val="21"/>
                <w:szCs w:val="21"/>
              </w:rPr>
            </w:pPr>
            <w:r>
              <w:rPr>
                <w:rFonts w:hint="default" w:ascii="Times New Roman" w:hAnsi="Times New Roman" w:eastAsia="宋体" w:cs="Times New Roman"/>
                <w:bCs/>
                <w:sz w:val="21"/>
                <w:szCs w:val="21"/>
              </w:rPr>
              <w:t>1</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45" w:type="dxa"/>
            <w:tcBorders>
              <w:right w:val="single" w:color="000000" w:sz="6" w:space="0"/>
            </w:tcBorders>
            <w:shd w:val="clear" w:color="auto" w:fill="auto"/>
            <w:vAlign w:val="center"/>
          </w:tcPr>
          <w:p>
            <w:pPr>
              <w:spacing w:line="312" w:lineRule="auto"/>
              <w:jc w:val="center"/>
              <w:rPr>
                <w:rFonts w:ascii="Times New Roman" w:hAnsi="Times New Roman" w:eastAsia="宋体" w:cs="Times New Roman"/>
                <w:bCs/>
                <w:sz w:val="21"/>
                <w:szCs w:val="21"/>
              </w:rPr>
            </w:pPr>
            <w:r>
              <w:rPr>
                <w:rFonts w:hint="default" w:ascii="Times New Roman" w:hAnsi="Times New Roman" w:eastAsia="宋体" w:cs="Times New Roman"/>
                <w:bCs/>
                <w:sz w:val="21"/>
                <w:szCs w:val="21"/>
              </w:rPr>
              <w:t>占比</w:t>
            </w:r>
          </w:p>
        </w:tc>
        <w:tc>
          <w:tcPr>
            <w:tcW w:w="1452" w:type="dxa"/>
            <w:shd w:val="clear" w:color="auto" w:fill="auto"/>
            <w:vAlign w:val="center"/>
          </w:tcPr>
          <w:p>
            <w:pPr>
              <w:spacing w:line="312" w:lineRule="auto"/>
              <w:jc w:val="center"/>
              <w:rPr>
                <w:rFonts w:ascii="Times New Roman" w:hAnsi="Times New Roman" w:eastAsia="宋体" w:cs="Times New Roman"/>
                <w:bCs/>
                <w:sz w:val="21"/>
                <w:szCs w:val="21"/>
              </w:rPr>
            </w:pPr>
            <w:r>
              <w:rPr>
                <w:rFonts w:hint="default" w:ascii="Times New Roman" w:hAnsi="Times New Roman" w:eastAsia="宋体" w:cs="Times New Roman"/>
                <w:bCs/>
                <w:sz w:val="21"/>
                <w:szCs w:val="21"/>
              </w:rPr>
              <w:t>92.3%</w:t>
            </w:r>
          </w:p>
        </w:tc>
        <w:tc>
          <w:tcPr>
            <w:tcW w:w="1236" w:type="dxa"/>
            <w:shd w:val="clear" w:color="auto" w:fill="auto"/>
            <w:vAlign w:val="center"/>
          </w:tcPr>
          <w:p>
            <w:pPr>
              <w:spacing w:line="312" w:lineRule="auto"/>
              <w:jc w:val="center"/>
              <w:rPr>
                <w:rFonts w:ascii="Times New Roman" w:hAnsi="Times New Roman" w:eastAsia="宋体" w:cs="Times New Roman"/>
                <w:bCs/>
                <w:sz w:val="21"/>
                <w:szCs w:val="21"/>
              </w:rPr>
            </w:pPr>
            <w:r>
              <w:rPr>
                <w:rFonts w:hint="default" w:ascii="Times New Roman" w:hAnsi="Times New Roman" w:eastAsia="宋体" w:cs="Times New Roman"/>
                <w:bCs/>
                <w:sz w:val="21"/>
                <w:szCs w:val="21"/>
              </w:rPr>
              <w:t>0%</w:t>
            </w:r>
          </w:p>
        </w:tc>
        <w:tc>
          <w:tcPr>
            <w:tcW w:w="1469" w:type="dxa"/>
            <w:shd w:val="clear" w:color="auto" w:fill="auto"/>
            <w:vAlign w:val="center"/>
          </w:tcPr>
          <w:p>
            <w:pPr>
              <w:spacing w:line="312" w:lineRule="auto"/>
              <w:jc w:val="center"/>
              <w:rPr>
                <w:rFonts w:ascii="Times New Roman" w:hAnsi="Times New Roman" w:eastAsia="宋体" w:cs="Times New Roman"/>
                <w:bCs/>
                <w:sz w:val="21"/>
                <w:szCs w:val="21"/>
              </w:rPr>
            </w:pPr>
            <w:r>
              <w:rPr>
                <w:rFonts w:hint="default" w:ascii="Times New Roman" w:hAnsi="Times New Roman" w:eastAsia="宋体" w:cs="Times New Roman"/>
                <w:bCs/>
                <w:sz w:val="21"/>
                <w:szCs w:val="21"/>
              </w:rPr>
              <w:t>0%</w:t>
            </w:r>
          </w:p>
        </w:tc>
        <w:tc>
          <w:tcPr>
            <w:tcW w:w="1613" w:type="dxa"/>
            <w:shd w:val="clear" w:color="auto" w:fill="auto"/>
            <w:vAlign w:val="center"/>
          </w:tcPr>
          <w:p>
            <w:pPr>
              <w:spacing w:line="312" w:lineRule="auto"/>
              <w:jc w:val="center"/>
              <w:rPr>
                <w:rFonts w:ascii="Times New Roman" w:hAnsi="Times New Roman" w:eastAsia="宋体" w:cs="Times New Roman"/>
                <w:bCs/>
                <w:sz w:val="21"/>
                <w:szCs w:val="21"/>
              </w:rPr>
            </w:pPr>
            <w:r>
              <w:rPr>
                <w:rFonts w:hint="default" w:ascii="Times New Roman" w:hAnsi="Times New Roman" w:eastAsia="宋体" w:cs="Times New Roman"/>
                <w:bCs/>
                <w:sz w:val="21"/>
                <w:szCs w:val="21"/>
              </w:rPr>
              <w:t>7.7%</w:t>
            </w:r>
          </w:p>
        </w:tc>
      </w:tr>
    </w:tbl>
    <w:p>
      <w:pPr>
        <w:snapToGrid/>
        <w:spacing w:line="100" w:lineRule="exact"/>
        <w:ind w:firstLine="643" w:firstLineChars="200"/>
        <w:rPr>
          <w:rFonts w:hint="eastAsia" w:ascii="仿宋" w:hAnsi="仿宋" w:eastAsia="仿宋" w:cs="宋体"/>
          <w:b/>
          <w:szCs w:val="32"/>
        </w:rPr>
      </w:pPr>
    </w:p>
    <w:p>
      <w:pPr>
        <w:snapToGrid/>
        <w:spacing w:line="560" w:lineRule="exact"/>
        <w:ind w:firstLine="643" w:firstLineChars="200"/>
        <w:rPr>
          <w:rFonts w:ascii="仿宋" w:hAnsi="仿宋" w:eastAsia="仿宋" w:cs="宋体"/>
          <w:b/>
          <w:sz w:val="32"/>
          <w:szCs w:val="32"/>
        </w:rPr>
      </w:pPr>
      <w:r>
        <w:rPr>
          <w:rFonts w:hint="eastAsia" w:ascii="仿宋" w:hAnsi="仿宋" w:eastAsia="仿宋" w:cs="宋体"/>
          <w:b/>
          <w:sz w:val="32"/>
          <w:szCs w:val="32"/>
        </w:rPr>
        <w:t>就业去向分析</w:t>
      </w:r>
    </w:p>
    <w:p>
      <w:pPr>
        <w:snapToGrid/>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（1）就业地区：</w:t>
      </w:r>
    </w:p>
    <w:p>
      <w:pPr>
        <w:snapToGrid/>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从统计数据中可以看出，硕士研究生主要在河北（4人）就业，其次为北京（2人）、浙江（2人）、安徽（2人）、山东（1人）、江西（1人）。本专业的培养特色就是服务河北，面向京津。就业地区分布再次表明研究生的就业情况与我校的培养目标相吻合。北京作为祖国的首都和直辖市，在信息、机会、待遇各个方面有着其他省市无与伦比的优势，加之与河北毗邻，自然也成为了我校研究生就业的重要选项。</w:t>
      </w:r>
    </w:p>
    <w:p>
      <w:pPr>
        <w:snapToGrid/>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（2）就业行业分布</w:t>
      </w:r>
    </w:p>
    <w:p>
      <w:pPr>
        <w:snapToGrid/>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如下表所示，就业的12人中，有58%进入银行工作，1人进入证券工作，保险公司没有就业，表现出在新冠疫情冲击下，银行业应对风险的能力强于保险业。</w:t>
      </w:r>
    </w:p>
    <w:tbl>
      <w:tblPr>
        <w:tblStyle w:val="10"/>
        <w:tblW w:w="8322" w:type="dxa"/>
        <w:jc w:val="center"/>
        <w:tblLayout w:type="autofit"/>
        <w:tblCellMar>
          <w:top w:w="0" w:type="dxa"/>
          <w:left w:w="108" w:type="dxa"/>
          <w:bottom w:w="0" w:type="dxa"/>
          <w:right w:w="108" w:type="dxa"/>
        </w:tblCellMar>
      </w:tblPr>
      <w:tblGrid>
        <w:gridCol w:w="1445"/>
        <w:gridCol w:w="1114"/>
        <w:gridCol w:w="1114"/>
        <w:gridCol w:w="1114"/>
        <w:gridCol w:w="1114"/>
        <w:gridCol w:w="1114"/>
        <w:gridCol w:w="1307"/>
      </w:tblGrid>
      <w:tr>
        <w:tblPrEx>
          <w:tblCellMar>
            <w:top w:w="0" w:type="dxa"/>
            <w:left w:w="108" w:type="dxa"/>
            <w:bottom w:w="0" w:type="dxa"/>
            <w:right w:w="108" w:type="dxa"/>
          </w:tblCellMar>
        </w:tblPrEx>
        <w:trPr>
          <w:trHeight w:val="307" w:hRule="atLeast"/>
          <w:jc w:val="center"/>
        </w:trPr>
        <w:tc>
          <w:tcPr>
            <w:tcW w:w="8322" w:type="dxa"/>
            <w:gridSpan w:val="7"/>
            <w:tcBorders>
              <w:top w:val="nil"/>
              <w:left w:val="nil"/>
              <w:bottom w:val="single" w:color="auto" w:sz="4" w:space="0"/>
              <w:right w:val="nil"/>
            </w:tcBorders>
            <w:shd w:val="clear" w:color="auto" w:fill="auto"/>
            <w:noWrap/>
            <w:vAlign w:val="bottom"/>
          </w:tcPr>
          <w:p>
            <w:pPr>
              <w:widowControl/>
              <w:spacing w:line="560" w:lineRule="exact"/>
              <w:jc w:val="center"/>
              <w:rPr>
                <w:rFonts w:ascii="仿宋" w:hAnsi="仿宋" w:eastAsia="仿宋" w:cs="宋体"/>
                <w:b/>
                <w:color w:val="000000"/>
                <w:sz w:val="28"/>
                <w:szCs w:val="28"/>
              </w:rPr>
            </w:pPr>
            <w:r>
              <w:rPr>
                <w:rFonts w:hint="eastAsia" w:ascii="仿宋" w:hAnsi="仿宋" w:eastAsia="仿宋" w:cs="宋体"/>
                <w:b/>
                <w:color w:val="000000"/>
                <w:sz w:val="28"/>
                <w:szCs w:val="28"/>
              </w:rPr>
              <w:t>表7  2022年毕业生就业的行业分布</w:t>
            </w:r>
          </w:p>
        </w:tc>
      </w:tr>
      <w:tr>
        <w:tblPrEx>
          <w:tblCellMar>
            <w:top w:w="0" w:type="dxa"/>
            <w:left w:w="108" w:type="dxa"/>
            <w:bottom w:w="0" w:type="dxa"/>
            <w:right w:w="108" w:type="dxa"/>
          </w:tblCellMar>
        </w:tblPrEx>
        <w:trPr>
          <w:trHeight w:val="291" w:hRule="atLeast"/>
          <w:jc w:val="center"/>
        </w:trPr>
        <w:tc>
          <w:tcPr>
            <w:tcW w:w="1445" w:type="dxa"/>
            <w:tcBorders>
              <w:top w:val="nil"/>
              <w:left w:val="single" w:color="auto" w:sz="4" w:space="0"/>
              <w:bottom w:val="single" w:color="auto" w:sz="4" w:space="0"/>
              <w:right w:val="single" w:color="auto" w:sz="4" w:space="0"/>
            </w:tcBorders>
            <w:shd w:val="clear" w:color="auto" w:fill="auto"/>
          </w:tcPr>
          <w:p>
            <w:pPr>
              <w:widowControl/>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就业总人数</w:t>
            </w:r>
          </w:p>
        </w:tc>
        <w:tc>
          <w:tcPr>
            <w:tcW w:w="1114" w:type="dxa"/>
            <w:tcBorders>
              <w:top w:val="nil"/>
              <w:left w:val="nil"/>
              <w:bottom w:val="single" w:color="auto" w:sz="4" w:space="0"/>
              <w:right w:val="single" w:color="auto" w:sz="4" w:space="0"/>
            </w:tcBorders>
            <w:shd w:val="clear" w:color="auto" w:fill="auto"/>
          </w:tcPr>
          <w:p>
            <w:pPr>
              <w:widowControl/>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银行</w:t>
            </w:r>
          </w:p>
        </w:tc>
        <w:tc>
          <w:tcPr>
            <w:tcW w:w="1114" w:type="dxa"/>
            <w:tcBorders>
              <w:top w:val="nil"/>
              <w:left w:val="nil"/>
              <w:bottom w:val="single" w:color="auto" w:sz="4" w:space="0"/>
              <w:right w:val="single" w:color="auto" w:sz="4" w:space="0"/>
            </w:tcBorders>
            <w:shd w:val="clear" w:color="auto" w:fill="auto"/>
          </w:tcPr>
          <w:p>
            <w:pPr>
              <w:widowControl/>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证券</w:t>
            </w:r>
          </w:p>
        </w:tc>
        <w:tc>
          <w:tcPr>
            <w:tcW w:w="1114" w:type="dxa"/>
            <w:tcBorders>
              <w:top w:val="nil"/>
              <w:left w:val="nil"/>
              <w:bottom w:val="single" w:color="auto" w:sz="4" w:space="0"/>
              <w:right w:val="single" w:color="auto" w:sz="4" w:space="0"/>
            </w:tcBorders>
            <w:shd w:val="clear" w:color="auto" w:fill="auto"/>
          </w:tcPr>
          <w:p>
            <w:pPr>
              <w:widowControl/>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公务员</w:t>
            </w:r>
          </w:p>
        </w:tc>
        <w:tc>
          <w:tcPr>
            <w:tcW w:w="1114" w:type="dxa"/>
            <w:tcBorders>
              <w:top w:val="nil"/>
              <w:left w:val="nil"/>
              <w:bottom w:val="single" w:color="auto" w:sz="4" w:space="0"/>
              <w:right w:val="single" w:color="auto" w:sz="4" w:space="0"/>
            </w:tcBorders>
            <w:shd w:val="clear" w:color="auto" w:fill="auto"/>
          </w:tcPr>
          <w:p>
            <w:pPr>
              <w:widowControl/>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事业单位</w:t>
            </w:r>
          </w:p>
        </w:tc>
        <w:tc>
          <w:tcPr>
            <w:tcW w:w="1114" w:type="dxa"/>
            <w:tcBorders>
              <w:top w:val="nil"/>
              <w:left w:val="nil"/>
              <w:bottom w:val="single" w:color="auto" w:sz="4" w:space="0"/>
              <w:right w:val="single" w:color="auto" w:sz="4" w:space="0"/>
            </w:tcBorders>
            <w:shd w:val="clear" w:color="auto" w:fill="auto"/>
          </w:tcPr>
          <w:p>
            <w:pPr>
              <w:widowControl/>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科技公司</w:t>
            </w:r>
          </w:p>
        </w:tc>
        <w:tc>
          <w:tcPr>
            <w:tcW w:w="1307" w:type="dxa"/>
            <w:tcBorders>
              <w:top w:val="nil"/>
              <w:left w:val="nil"/>
              <w:bottom w:val="single" w:color="auto" w:sz="4" w:space="0"/>
              <w:right w:val="single" w:color="auto" w:sz="4" w:space="0"/>
            </w:tcBorders>
            <w:shd w:val="clear" w:color="auto" w:fill="auto"/>
          </w:tcPr>
          <w:p>
            <w:pPr>
              <w:widowControl/>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新能源汽车</w:t>
            </w:r>
          </w:p>
        </w:tc>
      </w:tr>
      <w:tr>
        <w:tblPrEx>
          <w:tblCellMar>
            <w:top w:w="0" w:type="dxa"/>
            <w:left w:w="108" w:type="dxa"/>
            <w:bottom w:w="0" w:type="dxa"/>
            <w:right w:w="108" w:type="dxa"/>
          </w:tblCellMar>
        </w:tblPrEx>
        <w:trPr>
          <w:trHeight w:val="307" w:hRule="atLeast"/>
          <w:jc w:val="center"/>
        </w:trPr>
        <w:tc>
          <w:tcPr>
            <w:tcW w:w="1445" w:type="dxa"/>
            <w:tcBorders>
              <w:top w:val="nil"/>
              <w:left w:val="single" w:color="auto" w:sz="4" w:space="0"/>
              <w:bottom w:val="single" w:color="auto" w:sz="4" w:space="0"/>
              <w:right w:val="single" w:color="auto" w:sz="4" w:space="0"/>
            </w:tcBorders>
            <w:shd w:val="clear" w:color="auto" w:fill="auto"/>
            <w:noWrap/>
            <w:vAlign w:val="bottom"/>
          </w:tcPr>
          <w:p>
            <w:pPr>
              <w:widowControl/>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12</w:t>
            </w:r>
          </w:p>
        </w:tc>
        <w:tc>
          <w:tcPr>
            <w:tcW w:w="1114" w:type="dxa"/>
            <w:tcBorders>
              <w:top w:val="nil"/>
              <w:left w:val="nil"/>
              <w:bottom w:val="single" w:color="auto" w:sz="4" w:space="0"/>
              <w:right w:val="single" w:color="auto" w:sz="4" w:space="0"/>
            </w:tcBorders>
            <w:shd w:val="clear" w:color="auto" w:fill="auto"/>
            <w:noWrap/>
            <w:vAlign w:val="bottom"/>
          </w:tcPr>
          <w:p>
            <w:pPr>
              <w:widowControl/>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c>
          <w:tcPr>
            <w:tcW w:w="1114" w:type="dxa"/>
            <w:tcBorders>
              <w:top w:val="nil"/>
              <w:left w:val="nil"/>
              <w:bottom w:val="single" w:color="auto" w:sz="4" w:space="0"/>
              <w:right w:val="single" w:color="auto" w:sz="4" w:space="0"/>
            </w:tcBorders>
            <w:shd w:val="clear" w:color="auto" w:fill="auto"/>
            <w:noWrap/>
            <w:vAlign w:val="bottom"/>
          </w:tcPr>
          <w:p>
            <w:pPr>
              <w:widowControl/>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w:t>
            </w:r>
          </w:p>
        </w:tc>
        <w:tc>
          <w:tcPr>
            <w:tcW w:w="1114" w:type="dxa"/>
            <w:tcBorders>
              <w:top w:val="nil"/>
              <w:left w:val="nil"/>
              <w:bottom w:val="single" w:color="auto" w:sz="4" w:space="0"/>
              <w:right w:val="single" w:color="auto" w:sz="4" w:space="0"/>
            </w:tcBorders>
            <w:shd w:val="clear" w:color="auto" w:fill="auto"/>
            <w:noWrap/>
            <w:vAlign w:val="bottom"/>
          </w:tcPr>
          <w:p>
            <w:pPr>
              <w:widowControl/>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w:t>
            </w:r>
          </w:p>
        </w:tc>
        <w:tc>
          <w:tcPr>
            <w:tcW w:w="1114" w:type="dxa"/>
            <w:tcBorders>
              <w:top w:val="nil"/>
              <w:left w:val="nil"/>
              <w:bottom w:val="single" w:color="auto" w:sz="4" w:space="0"/>
              <w:right w:val="single" w:color="auto" w:sz="4" w:space="0"/>
            </w:tcBorders>
            <w:shd w:val="clear" w:color="auto" w:fill="auto"/>
            <w:noWrap/>
            <w:vAlign w:val="bottom"/>
          </w:tcPr>
          <w:p>
            <w:pPr>
              <w:widowControl/>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w:t>
            </w:r>
          </w:p>
        </w:tc>
        <w:tc>
          <w:tcPr>
            <w:tcW w:w="1114" w:type="dxa"/>
            <w:tcBorders>
              <w:top w:val="nil"/>
              <w:left w:val="nil"/>
              <w:bottom w:val="single" w:color="auto" w:sz="4" w:space="0"/>
              <w:right w:val="single" w:color="auto" w:sz="4" w:space="0"/>
            </w:tcBorders>
            <w:shd w:val="clear" w:color="auto" w:fill="auto"/>
            <w:noWrap/>
            <w:vAlign w:val="bottom"/>
          </w:tcPr>
          <w:p>
            <w:pPr>
              <w:widowControl/>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w:t>
            </w:r>
          </w:p>
        </w:tc>
        <w:tc>
          <w:tcPr>
            <w:tcW w:w="1307" w:type="dxa"/>
            <w:tcBorders>
              <w:top w:val="nil"/>
              <w:left w:val="nil"/>
              <w:bottom w:val="single" w:color="auto" w:sz="4" w:space="0"/>
              <w:right w:val="single" w:color="auto" w:sz="4" w:space="0"/>
            </w:tcBorders>
            <w:shd w:val="clear" w:color="auto" w:fill="auto"/>
            <w:noWrap/>
            <w:vAlign w:val="bottom"/>
          </w:tcPr>
          <w:p>
            <w:pPr>
              <w:widowControl/>
              <w:spacing w:line="312" w:lineRule="auto"/>
              <w:jc w:val="center"/>
              <w:rPr>
                <w:rFonts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w:t>
            </w:r>
          </w:p>
        </w:tc>
      </w:tr>
    </w:tbl>
    <w:p>
      <w:pPr>
        <w:pStyle w:val="2"/>
        <w:spacing w:line="560" w:lineRule="exact"/>
        <w:ind w:firstLine="643"/>
        <w:rPr>
          <w:rFonts w:ascii="仿宋" w:hAnsi="仿宋" w:eastAsia="仿宋" w:cs="宋体"/>
          <w:b/>
          <w:bCs/>
          <w:sz w:val="32"/>
          <w:szCs w:val="32"/>
        </w:rPr>
      </w:pPr>
      <w:r>
        <w:rPr>
          <w:rFonts w:hint="eastAsia" w:ascii="仿宋" w:hAnsi="仿宋" w:eastAsia="仿宋" w:cs="宋体"/>
          <w:b/>
          <w:bCs/>
          <w:sz w:val="32"/>
          <w:szCs w:val="32"/>
        </w:rPr>
        <w:t>4.服务贡献</w:t>
      </w:r>
    </w:p>
    <w:p>
      <w:pPr>
        <w:snapToGrid/>
        <w:spacing w:line="560" w:lineRule="exact"/>
        <w:ind w:firstLine="640" w:firstLineChars="200"/>
        <w:rPr>
          <w:rFonts w:ascii="仿宋" w:hAnsi="仿宋" w:eastAsia="仿宋" w:cs="宋体"/>
          <w:bCs/>
          <w:sz w:val="32"/>
          <w:szCs w:val="32"/>
        </w:rPr>
      </w:pPr>
      <w:r>
        <w:rPr>
          <w:rFonts w:hint="eastAsia" w:ascii="仿宋" w:hAnsi="仿宋" w:eastAsia="仿宋" w:cs="宋体"/>
          <w:bCs/>
          <w:sz w:val="32"/>
          <w:szCs w:val="32"/>
        </w:rPr>
        <w:t>本学科发挥学科及专业优势，积极履行社会服务的职能，做出了如下贡献：</w:t>
      </w:r>
    </w:p>
    <w:p>
      <w:pPr>
        <w:snapToGrid/>
        <w:spacing w:line="560" w:lineRule="exact"/>
        <w:ind w:firstLine="643" w:firstLineChars="200"/>
        <w:rPr>
          <w:rFonts w:ascii="仿宋" w:hAnsi="仿宋" w:eastAsia="仿宋" w:cs="宋体"/>
          <w:b/>
          <w:sz w:val="32"/>
          <w:szCs w:val="32"/>
        </w:rPr>
      </w:pPr>
      <w:r>
        <w:rPr>
          <w:rFonts w:hint="eastAsia" w:ascii="仿宋" w:hAnsi="仿宋" w:eastAsia="仿宋" w:cs="宋体"/>
          <w:b/>
          <w:sz w:val="32"/>
          <w:szCs w:val="32"/>
        </w:rPr>
        <w:t>首先，为区域经济及产业发展提供了智力支持</w:t>
      </w:r>
    </w:p>
    <w:p>
      <w:pPr>
        <w:snapToGrid/>
        <w:spacing w:line="560" w:lineRule="exact"/>
        <w:ind w:firstLine="640" w:firstLineChars="200"/>
        <w:rPr>
          <w:rFonts w:ascii="仿宋" w:hAnsi="仿宋" w:eastAsia="仿宋" w:cs="宋体"/>
          <w:bCs/>
          <w:sz w:val="32"/>
          <w:szCs w:val="32"/>
        </w:rPr>
      </w:pPr>
      <w:r>
        <w:rPr>
          <w:rFonts w:hint="eastAsia" w:ascii="仿宋" w:hAnsi="仿宋" w:eastAsia="仿宋" w:cs="宋体"/>
          <w:bCs/>
          <w:sz w:val="32"/>
          <w:szCs w:val="32"/>
        </w:rPr>
        <w:t>学科积极展开社会服务工作，在服务河北省保险行业发展、金融改革、雄安新区建设等方面形成特色。近年来有多项研究成果获政府和行业领导一致认可，多项成果已转化为河北省政府、发改委、保险公司、商业银行等部门的政策文件，为河北省区域经济发展和金融保险改革提供了智力支撑。</w:t>
      </w:r>
    </w:p>
    <w:p>
      <w:pPr>
        <w:snapToGrid/>
        <w:spacing w:line="560" w:lineRule="exact"/>
        <w:ind w:firstLine="643" w:firstLineChars="200"/>
        <w:rPr>
          <w:rFonts w:ascii="仿宋" w:hAnsi="仿宋" w:eastAsia="仿宋" w:cs="宋体"/>
          <w:b/>
          <w:sz w:val="32"/>
          <w:szCs w:val="32"/>
        </w:rPr>
      </w:pPr>
      <w:r>
        <w:rPr>
          <w:rFonts w:hint="eastAsia" w:ascii="仿宋" w:hAnsi="仿宋" w:eastAsia="仿宋" w:cs="宋体"/>
          <w:b/>
          <w:sz w:val="32"/>
          <w:szCs w:val="32"/>
        </w:rPr>
        <w:t>其次，搭建产学研科研平台，提高研究成果转化</w:t>
      </w:r>
    </w:p>
    <w:p>
      <w:pPr>
        <w:snapToGrid/>
        <w:spacing w:line="560" w:lineRule="exact"/>
        <w:ind w:firstLine="640" w:firstLineChars="200"/>
        <w:rPr>
          <w:rFonts w:ascii="仿宋" w:hAnsi="仿宋" w:eastAsia="仿宋" w:cs="宋体"/>
          <w:bCs/>
          <w:sz w:val="32"/>
          <w:szCs w:val="32"/>
        </w:rPr>
      </w:pPr>
      <w:r>
        <w:rPr>
          <w:rFonts w:hint="eastAsia" w:ascii="仿宋" w:hAnsi="仿宋" w:eastAsia="仿宋" w:cs="宋体"/>
          <w:bCs/>
          <w:sz w:val="32"/>
          <w:szCs w:val="32"/>
        </w:rPr>
        <w:t>本学科成立“河北大学金融研究中心”、河北大学—财达证券金融保险硕士实践基地”、“河北大学-燕赵财险保险硕士实践基地”等研究与实践机构，为学术研究和人才培养提供了有效平台。科研平台的搭建，加强了政、产、学、研的有效沟通与合作，推动了理论研究与实践应用的结合，提高了研究成果向实际应用的转化。2022年度，完成了河北省保险学会年度课题“河北省商业养老保险发展研究”，为河北省应对“个人养老金制度实施”提供了河北解决方案，受到监管机构和行业专家的好评。</w:t>
      </w:r>
    </w:p>
    <w:p>
      <w:pPr>
        <w:snapToGrid/>
        <w:spacing w:line="560" w:lineRule="exact"/>
        <w:ind w:firstLine="643" w:firstLineChars="200"/>
        <w:rPr>
          <w:rFonts w:ascii="仿宋" w:hAnsi="仿宋" w:eastAsia="仿宋" w:cs="宋体"/>
          <w:b/>
          <w:sz w:val="32"/>
          <w:szCs w:val="32"/>
        </w:rPr>
      </w:pPr>
      <w:r>
        <w:rPr>
          <w:rFonts w:hint="eastAsia" w:ascii="仿宋" w:hAnsi="仿宋" w:eastAsia="仿宋" w:cs="宋体"/>
          <w:b/>
          <w:sz w:val="32"/>
          <w:szCs w:val="32"/>
        </w:rPr>
        <w:t>最后，依托科研成果、服务金融、保险业发展和社会保险实施</w:t>
      </w:r>
    </w:p>
    <w:p>
      <w:pPr>
        <w:pStyle w:val="2"/>
        <w:spacing w:line="560" w:lineRule="exact"/>
        <w:rPr>
          <w:rFonts w:ascii="仿宋" w:hAnsi="仿宋" w:eastAsia="仿宋"/>
        </w:rPr>
      </w:pPr>
      <w:r>
        <w:rPr>
          <w:rFonts w:hint="eastAsia" w:ascii="仿宋" w:hAnsi="仿宋" w:eastAsia="仿宋" w:cs="宋体"/>
          <w:bCs/>
          <w:sz w:val="32"/>
          <w:szCs w:val="32"/>
        </w:rPr>
        <w:t>2022年新承担的国家社会科学基金项目《疫情冲击下应急金融政策效果评估与退出机制研究》项目，以及已承担国家社会科学基金项目《资产驱动型保险经营模式冲击下金融风险共振、预警及防控研究》、《保险业系统性风险与金融稳定关系研究》的研究成果为金融业、保险业发展和风险控制、控制潜在金融风险、促进金融稳定提供了重要的理论支撑。同时，2022年度河北省高等学校人文社会科学青年项目《延迟退休对河北省基本养老保险基金可持续性的影响研究》为河北省社会养老保险财务耐久性和平衡性提供了解决方案。</w:t>
      </w:r>
    </w:p>
    <w:p>
      <w:pPr>
        <w:pStyle w:val="2"/>
        <w:spacing w:line="560" w:lineRule="exact"/>
        <w:ind w:firstLine="640"/>
        <w:rPr>
          <w:rFonts w:hint="eastAsia" w:ascii="黑体" w:hAnsi="黑体" w:eastAsia="黑体"/>
          <w:b w:val="0"/>
        </w:rPr>
      </w:pPr>
      <w:r>
        <w:rPr>
          <w:rFonts w:hint="eastAsia" w:ascii="黑体" w:hAnsi="黑体" w:eastAsia="黑体" w:cs="宋体"/>
          <w:b w:val="0"/>
          <w:bCs/>
        </w:rPr>
        <w:t>三、学位授权点建设存在的问题</w:t>
      </w:r>
    </w:p>
    <w:p>
      <w:pPr>
        <w:pStyle w:val="2"/>
        <w:spacing w:line="560" w:lineRule="exact"/>
        <w:ind w:firstLine="643"/>
        <w:rPr>
          <w:rFonts w:ascii="仿宋" w:hAnsi="仿宋" w:eastAsia="仿宋"/>
          <w:b/>
          <w:sz w:val="32"/>
          <w:szCs w:val="32"/>
        </w:rPr>
      </w:pPr>
      <w:r>
        <w:rPr>
          <w:rFonts w:hint="eastAsia" w:ascii="仿宋" w:hAnsi="仿宋" w:eastAsia="仿宋"/>
          <w:b/>
          <w:sz w:val="32"/>
          <w:szCs w:val="32"/>
        </w:rPr>
        <w:t>（一）</w:t>
      </w:r>
      <w:r>
        <w:rPr>
          <w:rFonts w:ascii="仿宋" w:hAnsi="仿宋" w:eastAsia="仿宋"/>
          <w:b/>
          <w:sz w:val="32"/>
          <w:szCs w:val="32"/>
        </w:rPr>
        <w:t>国际化的教学和交流活动较少</w:t>
      </w:r>
    </w:p>
    <w:p>
      <w:pPr>
        <w:spacing w:line="560" w:lineRule="exact"/>
        <w:ind w:firstLine="566" w:firstLineChars="177"/>
        <w:rPr>
          <w:rFonts w:ascii="仿宋" w:hAnsi="仿宋" w:eastAsia="仿宋"/>
          <w:b/>
          <w:bCs/>
          <w:sz w:val="32"/>
          <w:szCs w:val="32"/>
        </w:rPr>
      </w:pPr>
      <w:r>
        <w:rPr>
          <w:rFonts w:hint="eastAsia" w:ascii="仿宋" w:hAnsi="仿宋" w:eastAsia="仿宋"/>
          <w:sz w:val="32"/>
          <w:szCs w:val="32"/>
        </w:rPr>
        <w:t>保险专硕课程中，开展双语教学的课程较少，慕课、网络课程、翻转课堂等手段还有待于进一步应用。目前，本专业点的学生培养工作未与国外高水平大学接轨，国际化的教学活动较少，有待于将国际上优秀保险专硕课程进一步引进。另外，受资金等条件限制，专职教师参加国外高级国际会议的较少，参加国外高端访问学者数量显少，与国外大学的交流合作还有待于进一步深入。</w:t>
      </w:r>
    </w:p>
    <w:p>
      <w:pPr>
        <w:spacing w:line="560" w:lineRule="exact"/>
        <w:ind w:firstLine="569" w:firstLineChars="177"/>
        <w:rPr>
          <w:rFonts w:ascii="仿宋" w:hAnsi="仿宋" w:eastAsia="仿宋" w:cs="宋体"/>
          <w:b/>
          <w:bCs/>
          <w:sz w:val="32"/>
          <w:szCs w:val="32"/>
        </w:rPr>
      </w:pPr>
      <w:r>
        <w:rPr>
          <w:rFonts w:hint="eastAsia" w:ascii="仿宋" w:hAnsi="仿宋" w:eastAsia="仿宋" w:cs="宋体"/>
          <w:b/>
          <w:bCs/>
          <w:sz w:val="32"/>
          <w:szCs w:val="32"/>
        </w:rPr>
        <w:t>（二）专任教师的保险行业背景仍然欠缺</w:t>
      </w:r>
    </w:p>
    <w:p>
      <w:pPr>
        <w:spacing w:line="560" w:lineRule="exact"/>
        <w:ind w:firstLine="566" w:firstLineChars="177"/>
        <w:rPr>
          <w:rFonts w:ascii="仿宋" w:hAnsi="仿宋" w:eastAsia="仿宋" w:cs="宋体"/>
          <w:sz w:val="32"/>
          <w:szCs w:val="32"/>
        </w:rPr>
      </w:pPr>
      <w:r>
        <w:rPr>
          <w:rFonts w:hint="eastAsia" w:ascii="仿宋" w:hAnsi="仿宋" w:eastAsia="仿宋" w:cs="宋体"/>
          <w:sz w:val="32"/>
          <w:szCs w:val="32"/>
        </w:rPr>
        <w:t>就学位点目前情况来看，虽然大部分专任教师都具备较为扎实的理论功底，也开展了与行业的课题、培训、调研等研究，但是实际行业工作经历相对空白，不能非常及时掌握行业最新动态，迅速捕捉行业热点，有效引导学生解决实践中亟待解决的问题，从而导致学与用一定程度上的脱节，不能满足保险专业硕士的培养要求。</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（三）科研团队建设制度亟待落地</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从学位点目前情况来看，导师的科研方向较为分散，相互之间缺少协作，研究成果的关联性低。这种模式尽管能够照顾各位导师的研究兴趣，但从成果价值的角度看，确实一定程度造成了研究力量分散，不容易有大突破，出重要成果。</w:t>
      </w:r>
    </w:p>
    <w:p>
      <w:pPr>
        <w:spacing w:line="560" w:lineRule="exact"/>
        <w:ind w:firstLine="569" w:firstLineChars="177"/>
        <w:rPr>
          <w:rFonts w:ascii="仿宋" w:hAnsi="仿宋" w:eastAsia="仿宋" w:cs="宋体"/>
          <w:b/>
          <w:bCs/>
          <w:sz w:val="32"/>
          <w:szCs w:val="32"/>
        </w:rPr>
      </w:pPr>
      <w:r>
        <w:rPr>
          <w:rFonts w:hint="eastAsia" w:ascii="仿宋" w:hAnsi="仿宋" w:eastAsia="仿宋" w:cs="宋体"/>
          <w:b/>
          <w:bCs/>
          <w:sz w:val="32"/>
          <w:szCs w:val="32"/>
        </w:rPr>
        <w:t>（四）生源质量有待进一步提升</w:t>
      </w:r>
    </w:p>
    <w:p>
      <w:pPr>
        <w:spacing w:line="560" w:lineRule="exact"/>
        <w:ind w:firstLine="566" w:firstLineChars="177"/>
        <w:rPr>
          <w:rFonts w:ascii="仿宋" w:hAnsi="仿宋" w:eastAsia="仿宋" w:cs="宋体"/>
          <w:sz w:val="32"/>
          <w:szCs w:val="32"/>
        </w:rPr>
      </w:pPr>
      <w:r>
        <w:rPr>
          <w:rFonts w:hint="eastAsia" w:ascii="仿宋" w:hAnsi="仿宋" w:eastAsia="仿宋" w:cs="宋体"/>
          <w:sz w:val="32"/>
          <w:szCs w:val="32"/>
        </w:rPr>
        <w:t>近几年数据显示，虽然生源质量在逐年提高，本科阶段学习保险专业的学生比例也在快速上升，但学校层次还不是很高，211学生较少。</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（五）保险科技融入教学落实不好</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近年来，大数据、云计算、人工智能、区块链以及移动互联为引领的新的工业革命与科技革命，正在与保险行业紧密融合，使保险学科的边界、研究范式不断被打破和被重构。尽管教学和实践中也会涉及到金融科技，但未能突出金融科技在培养目标和毕业要求中的重要性。</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（六）毕业论文类型不够丰富</w:t>
      </w:r>
    </w:p>
    <w:p>
      <w:pPr>
        <w:spacing w:line="560" w:lineRule="exact"/>
        <w:ind w:firstLine="566" w:firstLineChars="177"/>
        <w:rPr>
          <w:rFonts w:ascii="仿宋" w:hAnsi="仿宋" w:eastAsia="仿宋" w:cs="宋体"/>
          <w:sz w:val="32"/>
          <w:szCs w:val="32"/>
        </w:rPr>
      </w:pPr>
      <w:r>
        <w:rPr>
          <w:rFonts w:hint="eastAsia" w:ascii="仿宋" w:hAnsi="仿宋" w:eastAsia="仿宋" w:cs="宋体"/>
          <w:sz w:val="32"/>
          <w:szCs w:val="32"/>
        </w:rPr>
        <w:t>从2022年毕业论的类型来看，依然是实证研究为主，案例分析类论文比重较低，产品设计类论文更是少之又少。虽然教指委并没有明确的论文类型规定，但是基于硕士专业学位的特征，鼓励多采用案例分析和产品设计的方式。</w:t>
      </w:r>
    </w:p>
    <w:p>
      <w:pPr>
        <w:pStyle w:val="2"/>
        <w:spacing w:line="560" w:lineRule="exact"/>
        <w:ind w:firstLine="643"/>
        <w:rPr>
          <w:rFonts w:ascii="仿宋" w:hAnsi="仿宋" w:eastAsia="仿宋" w:cs="宋体"/>
          <w:b/>
          <w:bCs/>
          <w:sz w:val="32"/>
          <w:szCs w:val="32"/>
        </w:rPr>
      </w:pPr>
      <w:r>
        <w:rPr>
          <w:rFonts w:hint="eastAsia" w:ascii="仿宋" w:hAnsi="仿宋" w:eastAsia="仿宋" w:cs="宋体"/>
          <w:b/>
          <w:bCs/>
          <w:sz w:val="32"/>
          <w:szCs w:val="32"/>
        </w:rPr>
        <w:t>（七）课程思政建设项目欠缺</w:t>
      </w:r>
    </w:p>
    <w:p>
      <w:pPr>
        <w:pStyle w:val="2"/>
        <w:spacing w:line="560" w:lineRule="exact"/>
        <w:ind w:firstLine="640"/>
        <w:rPr>
          <w:rFonts w:ascii="仿宋" w:hAnsi="仿宋" w:eastAsia="仿宋" w:cs="宋体"/>
          <w:sz w:val="32"/>
          <w:szCs w:val="32"/>
        </w:rPr>
      </w:pPr>
      <w:r>
        <w:rPr>
          <w:rFonts w:hint="eastAsia" w:ascii="仿宋" w:hAnsi="仿宋" w:eastAsia="仿宋" w:cs="宋体"/>
          <w:sz w:val="32"/>
          <w:szCs w:val="32"/>
        </w:rPr>
        <w:t>目前课程思政建设主要集中在本科生，对于研究生课程，虽然教师已经在教学过程中逐步进行课程思政的渗透，但是没有形成强烈的意愿和明确的项目约束。</w:t>
      </w:r>
    </w:p>
    <w:p>
      <w:pPr>
        <w:spacing w:line="560" w:lineRule="exact"/>
        <w:ind w:firstLine="566" w:firstLineChars="177"/>
        <w:rPr>
          <w:rFonts w:ascii="黑体" w:hAnsi="黑体" w:eastAsia="黑体" w:cs="黑体"/>
          <w:szCs w:val="32"/>
        </w:rPr>
      </w:pPr>
      <w:r>
        <w:rPr>
          <w:rFonts w:hint="eastAsia" w:ascii="黑体" w:hAnsi="黑体" w:eastAsia="黑体" w:cs="黑体"/>
          <w:szCs w:val="32"/>
        </w:rPr>
        <w:t>四、下一年度建设计划</w:t>
      </w:r>
    </w:p>
    <w:p>
      <w:pPr>
        <w:pStyle w:val="23"/>
        <w:spacing w:line="560" w:lineRule="exact"/>
        <w:ind w:firstLine="520" w:firstLineChars="162"/>
        <w:rPr>
          <w:rFonts w:ascii="仿宋" w:hAnsi="仿宋" w:eastAsia="仿宋" w:cs="黑体"/>
          <w:b/>
          <w:color w:val="000000"/>
          <w:sz w:val="32"/>
          <w:szCs w:val="32"/>
        </w:rPr>
      </w:pPr>
      <w:r>
        <w:rPr>
          <w:rFonts w:hint="eastAsia" w:ascii="仿宋" w:hAnsi="仿宋" w:eastAsia="仿宋" w:cs="黑体"/>
          <w:b/>
          <w:color w:val="000000"/>
          <w:sz w:val="32"/>
          <w:szCs w:val="32"/>
        </w:rPr>
        <w:t>（一）实施双语课程建设</w:t>
      </w:r>
    </w:p>
    <w:p>
      <w:pPr>
        <w:spacing w:line="560" w:lineRule="exact"/>
        <w:ind w:firstLine="640" w:firstLineChars="200"/>
        <w:jc w:val="left"/>
        <w:rPr>
          <w:rFonts w:ascii="仿宋" w:hAnsi="仿宋" w:eastAsia="仿宋" w:cs="仿宋_GB2312"/>
          <w:color w:val="000000"/>
          <w:sz w:val="32"/>
          <w:szCs w:val="32"/>
        </w:rPr>
      </w:pPr>
      <w:r>
        <w:rPr>
          <w:rFonts w:hint="eastAsia" w:ascii="仿宋" w:hAnsi="仿宋" w:eastAsia="仿宋" w:cs="仿宋_GB2312"/>
          <w:color w:val="000000"/>
          <w:sz w:val="32"/>
          <w:szCs w:val="32"/>
        </w:rPr>
        <w:t>实施对双语课程授课师资的多方培训。可以借鉴学校国际学院ISEC项目的实施经验，对双语教学授课教师进行定期或不定期的培训，逐渐明晰开展双语教学的目标，逐步掌握双语教学的授课经验和技巧。同时选送专业教师赴国外培训，遴选、组织承担双语教学的优秀教师到国外进行短期进修，使双语教师吸收国外先进的教育教学理念、教育教学方法，了解多元文化。下一年度拟新增</w:t>
      </w:r>
      <w:r>
        <w:rPr>
          <w:rFonts w:ascii="仿宋" w:hAnsi="仿宋" w:eastAsia="仿宋" w:cs="仿宋_GB2312"/>
          <w:color w:val="000000"/>
          <w:sz w:val="32"/>
          <w:szCs w:val="32"/>
        </w:rPr>
        <w:t>1</w:t>
      </w:r>
      <w:r>
        <w:rPr>
          <w:rFonts w:hint="eastAsia" w:ascii="仿宋" w:hAnsi="仿宋" w:eastAsia="仿宋" w:cs="仿宋_GB2312"/>
          <w:color w:val="000000"/>
          <w:sz w:val="32"/>
          <w:szCs w:val="32"/>
        </w:rPr>
        <w:t>门研究生双语课程。</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（二）师资队伍行业属性提升计划</w:t>
      </w:r>
    </w:p>
    <w:p>
      <w:pPr>
        <w:pStyle w:val="2"/>
        <w:spacing w:line="560" w:lineRule="exact"/>
        <w:ind w:firstLine="640"/>
        <w:rPr>
          <w:rFonts w:ascii="仿宋" w:hAnsi="仿宋" w:eastAsia="仿宋" w:cs="宋体"/>
          <w:sz w:val="32"/>
          <w:szCs w:val="32"/>
        </w:rPr>
      </w:pPr>
      <w:r>
        <w:rPr>
          <w:rFonts w:hint="eastAsia" w:ascii="仿宋" w:hAnsi="仿宋" w:eastAsia="仿宋" w:cs="宋体"/>
          <w:sz w:val="32"/>
          <w:szCs w:val="32"/>
        </w:rPr>
        <w:t>一是校内教师“双师型”建设计划。通过多种方式鼓励校内教师特别是青年教师行业挂职，2022年没有成行的两位教师，继续推进赴燕赵财险等机构挂职工作。学位点在课程安排、工作安排等多个方面基于相应的支持。</w:t>
      </w:r>
    </w:p>
    <w:p>
      <w:pPr>
        <w:pStyle w:val="2"/>
        <w:spacing w:line="560" w:lineRule="exact"/>
        <w:ind w:firstLine="640"/>
        <w:rPr>
          <w:rFonts w:ascii="仿宋" w:hAnsi="仿宋" w:eastAsia="仿宋" w:cs="宋体"/>
          <w:sz w:val="32"/>
          <w:szCs w:val="32"/>
        </w:rPr>
      </w:pPr>
      <w:r>
        <w:rPr>
          <w:rFonts w:hint="eastAsia" w:ascii="仿宋" w:hAnsi="仿宋" w:eastAsia="仿宋" w:cs="宋体"/>
          <w:sz w:val="32"/>
          <w:szCs w:val="32"/>
        </w:rPr>
        <w:t>二是校外导师资源强化计划。目前校外导师普遍存在联系不紧密的问题，重在选聘，全过程介入人才培养的比重较低。在2023年新生选择校内导师时，同时选择校外导师，增强校内导师和校外导师、学生和校外导师的联系频度。并推动校内外导师的多元化合作方式，例如合作课题、合作文章等。</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（三）科研团队建设落地计划</w:t>
      </w:r>
    </w:p>
    <w:p>
      <w:pPr>
        <w:pStyle w:val="2"/>
        <w:spacing w:line="560" w:lineRule="exact"/>
        <w:ind w:firstLine="640"/>
        <w:rPr>
          <w:rFonts w:ascii="仿宋" w:hAnsi="仿宋" w:eastAsia="仿宋" w:cs="宋体"/>
          <w:sz w:val="32"/>
          <w:szCs w:val="32"/>
        </w:rPr>
      </w:pPr>
      <w:r>
        <w:rPr>
          <w:rFonts w:hint="eastAsia" w:ascii="仿宋" w:hAnsi="仿宋" w:eastAsia="仿宋" w:cs="宋体"/>
          <w:sz w:val="32"/>
          <w:szCs w:val="32"/>
        </w:rPr>
        <w:t>科研团队建设一直在进行中，但是往往效果不尽如人意，关键制约因素是团队日常沟通机制制定和沟通地点建设问题，在原有的保险教研室的基础上，充分利用2021年新成立的河北省域高校虚拟教研室资源，组建一到二个科研团队，借助2023年即将交付使用的学院新的办公楼，争取科研团队相对独立的教研空间，每两周开展学术沙龙活动，同时将各自指导的研究生纳入科研团队活动，定期要求校外导师参与学术沙龙活动，交流信息、思想碰撞。</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（四）生源质量提升计划</w:t>
      </w:r>
    </w:p>
    <w:p>
      <w:pPr>
        <w:pStyle w:val="2"/>
        <w:spacing w:line="560" w:lineRule="exact"/>
        <w:ind w:firstLine="640"/>
        <w:rPr>
          <w:rFonts w:ascii="仿宋" w:hAnsi="仿宋" w:eastAsia="仿宋" w:cs="宋体"/>
          <w:sz w:val="32"/>
          <w:szCs w:val="32"/>
        </w:rPr>
      </w:pPr>
      <w:r>
        <w:rPr>
          <w:rFonts w:hint="eastAsia" w:ascii="仿宋" w:hAnsi="仿宋" w:eastAsia="仿宋" w:cs="宋体"/>
          <w:sz w:val="32"/>
          <w:szCs w:val="32"/>
        </w:rPr>
        <w:t>近些年，借助“部省合建”、“双一流建设”等政策的东风，我校教学科研水平大幅提升，学校的知名度和美誉度增加，生源质量逐步得到提升，报名人数持续增加，报考生源的学校层次也是逐步提升。2023年需要进一步加大招生宣传，特别是对于本校保险专业学生的宣传，2022年的考研情况已经证明本校生源对于生源质量提升的重要性，再有就是加强调剂环节的宣传，通过各种保险学界联系平台宣传调剂信息，由同行专家推荐优秀生源。</w:t>
      </w:r>
    </w:p>
    <w:p>
      <w:pPr>
        <w:spacing w:line="560" w:lineRule="exact"/>
        <w:ind w:left="566" w:leftChars="177"/>
        <w:rPr>
          <w:rFonts w:ascii="仿宋" w:hAnsi="仿宋" w:eastAsia="仿宋" w:cs="宋体"/>
          <w:b/>
          <w:bCs/>
          <w:sz w:val="32"/>
          <w:szCs w:val="32"/>
        </w:rPr>
      </w:pPr>
      <w:r>
        <w:rPr>
          <w:rFonts w:hint="eastAsia" w:ascii="仿宋" w:hAnsi="仿宋" w:eastAsia="仿宋" w:cs="宋体"/>
          <w:b/>
          <w:bCs/>
          <w:sz w:val="32"/>
          <w:szCs w:val="32"/>
        </w:rPr>
        <w:t>（五）保险科技教学资源获得计划</w:t>
      </w:r>
    </w:p>
    <w:p>
      <w:pPr>
        <w:pStyle w:val="2"/>
        <w:spacing w:line="560" w:lineRule="exact"/>
        <w:ind w:firstLine="640"/>
        <w:rPr>
          <w:rFonts w:ascii="仿宋" w:hAnsi="仿宋" w:eastAsia="仿宋" w:cs="宋体"/>
          <w:sz w:val="32"/>
          <w:szCs w:val="32"/>
        </w:rPr>
      </w:pPr>
      <w:r>
        <w:rPr>
          <w:rFonts w:hint="eastAsia" w:ascii="仿宋" w:hAnsi="仿宋" w:eastAsia="仿宋" w:cs="宋体"/>
          <w:sz w:val="32"/>
          <w:szCs w:val="32"/>
        </w:rPr>
        <w:t>近些年，保险科技成为了行业热点和发展趋势，但是保险科技进课程设置最大的问题就是师资问题，目前校内专任教师大多不具备科技方面的知识储备，所以计划2023年，一方面在校内进行大范围的学科交叉，与数学与信息科学学院、网络空间安全与计算机学院、物理科学与技术学院中的相关专业加强合作，师资交叉共享。另外一方面就是借助行业的力量，行业在保险科技方面，远远走在了学校前面，通过校外导师，共享行业的保险科技教学资源。</w:t>
      </w:r>
    </w:p>
    <w:p>
      <w:pPr>
        <w:spacing w:line="560" w:lineRule="exact"/>
        <w:ind w:firstLine="643" w:firstLineChars="200"/>
        <w:rPr>
          <w:rFonts w:ascii="仿宋" w:hAnsi="仿宋" w:eastAsia="仿宋" w:cs="宋体"/>
          <w:b/>
          <w:bCs/>
          <w:sz w:val="32"/>
          <w:szCs w:val="32"/>
        </w:rPr>
      </w:pPr>
      <w:r>
        <w:rPr>
          <w:rFonts w:hint="eastAsia" w:ascii="仿宋" w:hAnsi="仿宋" w:eastAsia="仿宋" w:cs="宋体"/>
          <w:b/>
          <w:bCs/>
          <w:sz w:val="32"/>
          <w:szCs w:val="32"/>
        </w:rPr>
        <w:t>（六）毕业论文类型多元化计划</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多元化最大的制约因素就是案例和产品设计的一手信息问题，包括真实信息和一手数据。要解决这个问题，需要一个系统方案，包括：校外导师的良性、密切沟通制度；学生有效深入的实习制度；行业需求转化为毕业论文选题制度；同时，这些制度的实施也需要学校相应配套支持措施，比如教师挂职绩效措施、学生实习时间和实习补贴制度；专硕培养时限延长措施等。</w:t>
      </w:r>
    </w:p>
    <w:p>
      <w:pPr>
        <w:pStyle w:val="2"/>
        <w:spacing w:line="560" w:lineRule="exact"/>
        <w:ind w:firstLine="643"/>
        <w:rPr>
          <w:rFonts w:ascii="仿宋" w:hAnsi="仿宋" w:eastAsia="仿宋" w:cs="仿宋_GB2312"/>
          <w:b/>
          <w:bCs/>
          <w:sz w:val="32"/>
        </w:rPr>
      </w:pPr>
      <w:r>
        <w:rPr>
          <w:rFonts w:hint="eastAsia" w:ascii="仿宋" w:hAnsi="仿宋" w:eastAsia="仿宋" w:cs="仿宋_GB2312"/>
          <w:b/>
          <w:bCs/>
          <w:sz w:val="32"/>
        </w:rPr>
        <w:t>（七）启动研究生课程思政项目建设</w:t>
      </w:r>
    </w:p>
    <w:p>
      <w:pPr>
        <w:rPr>
          <w:rFonts w:ascii="仿宋" w:hAnsi="仿宋" w:eastAsia="仿宋" w:cs="仿宋"/>
          <w:sz w:val="28"/>
          <w:szCs w:val="28"/>
        </w:rPr>
      </w:pPr>
      <w:r>
        <w:rPr>
          <w:rFonts w:hint="eastAsia" w:ascii="仿宋" w:hAnsi="仿宋" w:eastAsia="仿宋" w:cs="仿宋_GB2312"/>
          <w:sz w:val="32"/>
        </w:rPr>
        <w:t>以《保险理论研究》</w:t>
      </w:r>
      <w:r>
        <w:rPr>
          <w:rFonts w:ascii="仿宋" w:hAnsi="仿宋" w:eastAsia="仿宋" w:cs="仿宋_GB2312"/>
          <w:sz w:val="32"/>
        </w:rPr>
        <w:t>课程</w:t>
      </w:r>
      <w:r>
        <w:rPr>
          <w:rFonts w:hint="eastAsia" w:ascii="仿宋" w:hAnsi="仿宋" w:eastAsia="仿宋" w:cs="仿宋_GB2312"/>
          <w:sz w:val="32"/>
        </w:rPr>
        <w:t>为试点，该课程相关课程，本科教学已经获得立项，并取得了丰富的经验，2023年度，结合硕士研究生的授课特点，以行业案例分析为主线，实施课程思政</w:t>
      </w:r>
      <w:r>
        <w:rPr>
          <w:rFonts w:ascii="仿宋" w:hAnsi="仿宋" w:eastAsia="仿宋" w:cs="仿宋_GB2312"/>
          <w:sz w:val="32"/>
        </w:rPr>
        <w:t>建设</w:t>
      </w:r>
      <w:r>
        <w:rPr>
          <w:rFonts w:hint="eastAsia" w:ascii="仿宋" w:hAnsi="仿宋" w:eastAsia="仿宋" w:cs="仿宋_GB2312"/>
          <w:sz w:val="32"/>
        </w:rPr>
        <w:t>，积累经验和素材，申报校级课程思政项目。</w:t>
      </w:r>
    </w:p>
    <w:sectPr>
      <w:footerReference r:id="rId4" w:type="default"/>
      <w:pgSz w:w="11906" w:h="16838"/>
      <w:pgMar w:top="1440" w:right="1418" w:bottom="1440" w:left="141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DC5F9CD-3AE8-4562-B25B-C1A8B84C27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2" w:fontKey="{38D69DB7-E430-48C1-BACC-F2152EF60E11}"/>
  </w:font>
  <w:font w:name="Calibri">
    <w:panose1 w:val="020F0502020204030204"/>
    <w:charset w:val="00"/>
    <w:family w:val="swiss"/>
    <w:pitch w:val="default"/>
    <w:sig w:usb0="E4002EFF" w:usb1="C000247B" w:usb2="00000009" w:usb3="00000000" w:csb0="200001FF" w:csb1="00000000"/>
    <w:embedRegular r:id="rId3" w:fontKey="{B6FF7076-7753-47A1-BAD9-A21D4070229E}"/>
  </w:font>
  <w:font w:name="方正仿宋简体">
    <w:altName w:val="微软雅黑"/>
    <w:panose1 w:val="02010601030101010101"/>
    <w:charset w:val="86"/>
    <w:family w:val="auto"/>
    <w:pitch w:val="default"/>
    <w:sig w:usb0="00000000" w:usb1="00000000" w:usb2="00000010" w:usb3="00000000" w:csb0="00040000" w:csb1="00000000"/>
    <w:embedRegular r:id="rId4" w:fontKey="{8224E4FA-891F-4F3D-9FF7-6B77E2DCA289}"/>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5" w:fontKey="{FB3635A0-6740-4908-BAC9-7584C397F347}"/>
  </w:font>
  <w:font w:name="微软雅黑">
    <w:panose1 w:val="020B0503020204020204"/>
    <w:charset w:val="86"/>
    <w:family w:val="swiss"/>
    <w:pitch w:val="default"/>
    <w:sig w:usb0="80000287" w:usb1="2ACF3C50" w:usb2="00000016" w:usb3="00000000" w:csb0="0004001F" w:csb1="00000000"/>
    <w:embedRegular r:id="rId6" w:fontKey="{C1087178-A3E3-4B3E-B770-F8852C688B25}"/>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7" w:fontKey="{F2EC42F1-516F-488A-B9CA-BE47589DE6B5}"/>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widowControl w:val="0"/>
      <w:jc w:val="right"/>
      <w:textAlignment w:val="auto"/>
      <w:rPr>
        <w:rStyle w:val="16"/>
        <w:rFonts w:ascii="Times New Roman" w:hAnsi="Times New Roman" w:eastAsia="宋体"/>
        <w:sz w:val="18"/>
        <w:szCs w:val="18"/>
      </w:rPr>
    </w:pPr>
    <w:r>
      <w:fldChar w:fldCharType="begin"/>
    </w:r>
    <w:r>
      <w:instrText xml:space="preserve">PAGE   \* MERGEFORMAT</w:instrText>
    </w:r>
    <w:r>
      <w:fldChar w:fldCharType="separate"/>
    </w:r>
    <w:r>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widowControl w:val="0"/>
      <w:jc w:val="center"/>
      <w:textAlignment w:val="auto"/>
      <w:rPr>
        <w:rStyle w:val="16"/>
        <w:rFonts w:ascii="Times New Roman" w:hAnsi="Times New Roman" w:eastAsia="宋体"/>
        <w:sz w:val="18"/>
        <w:szCs w:val="18"/>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3BF95"/>
    <w:multiLevelType w:val="singleLevel"/>
    <w:tmpl w:val="D1D3BF9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NotTrackMoves/>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BjZTkyOGE4OGQ5NGEzODhmZGMzMTEyMzIzNWRlZDcifQ=="/>
  </w:docVars>
  <w:rsids>
    <w:rsidRoot w:val="00C605ED"/>
    <w:rsid w:val="0004276F"/>
    <w:rsid w:val="0008695F"/>
    <w:rsid w:val="000B1A61"/>
    <w:rsid w:val="000D7C98"/>
    <w:rsid w:val="00173C99"/>
    <w:rsid w:val="00183510"/>
    <w:rsid w:val="00197F2D"/>
    <w:rsid w:val="001D3851"/>
    <w:rsid w:val="0034189D"/>
    <w:rsid w:val="00400595"/>
    <w:rsid w:val="0041040C"/>
    <w:rsid w:val="004516A3"/>
    <w:rsid w:val="0045545E"/>
    <w:rsid w:val="004B1E41"/>
    <w:rsid w:val="004F0130"/>
    <w:rsid w:val="004F7A16"/>
    <w:rsid w:val="00575E53"/>
    <w:rsid w:val="0059056D"/>
    <w:rsid w:val="0062055B"/>
    <w:rsid w:val="006718BE"/>
    <w:rsid w:val="00692766"/>
    <w:rsid w:val="006E1DC1"/>
    <w:rsid w:val="00755DF0"/>
    <w:rsid w:val="007A200C"/>
    <w:rsid w:val="007A27AF"/>
    <w:rsid w:val="007A78C4"/>
    <w:rsid w:val="007D2F3F"/>
    <w:rsid w:val="008158E1"/>
    <w:rsid w:val="00825443"/>
    <w:rsid w:val="0088077C"/>
    <w:rsid w:val="0089472D"/>
    <w:rsid w:val="008D7C6E"/>
    <w:rsid w:val="008E6963"/>
    <w:rsid w:val="008E6AA5"/>
    <w:rsid w:val="008F2EE0"/>
    <w:rsid w:val="009060C6"/>
    <w:rsid w:val="009646A6"/>
    <w:rsid w:val="009C4DDC"/>
    <w:rsid w:val="00A116B3"/>
    <w:rsid w:val="00A32A7F"/>
    <w:rsid w:val="00A664F5"/>
    <w:rsid w:val="00AB01B3"/>
    <w:rsid w:val="00B46DCD"/>
    <w:rsid w:val="00B80CA8"/>
    <w:rsid w:val="00BA1321"/>
    <w:rsid w:val="00C16228"/>
    <w:rsid w:val="00C57F4D"/>
    <w:rsid w:val="00C605ED"/>
    <w:rsid w:val="00CF0509"/>
    <w:rsid w:val="00D040B1"/>
    <w:rsid w:val="00D07789"/>
    <w:rsid w:val="00D14A3A"/>
    <w:rsid w:val="00D24AF6"/>
    <w:rsid w:val="00D377D1"/>
    <w:rsid w:val="00D60C37"/>
    <w:rsid w:val="00DE7971"/>
    <w:rsid w:val="00FA24A8"/>
    <w:rsid w:val="01527376"/>
    <w:rsid w:val="01EA14B0"/>
    <w:rsid w:val="024258C8"/>
    <w:rsid w:val="02494D39"/>
    <w:rsid w:val="02AA0229"/>
    <w:rsid w:val="02CC29F4"/>
    <w:rsid w:val="04935596"/>
    <w:rsid w:val="05847D49"/>
    <w:rsid w:val="07C509FA"/>
    <w:rsid w:val="088E2847"/>
    <w:rsid w:val="08D24CB6"/>
    <w:rsid w:val="0C773AC4"/>
    <w:rsid w:val="0DB34516"/>
    <w:rsid w:val="10334CC3"/>
    <w:rsid w:val="10CC6998"/>
    <w:rsid w:val="133B0745"/>
    <w:rsid w:val="13845541"/>
    <w:rsid w:val="14DF2027"/>
    <w:rsid w:val="14FD0CC8"/>
    <w:rsid w:val="156C189D"/>
    <w:rsid w:val="167D1BF4"/>
    <w:rsid w:val="1689672F"/>
    <w:rsid w:val="17064C3F"/>
    <w:rsid w:val="18BE55DD"/>
    <w:rsid w:val="1A115968"/>
    <w:rsid w:val="1B6350E7"/>
    <w:rsid w:val="1B821FDD"/>
    <w:rsid w:val="1C135D77"/>
    <w:rsid w:val="1D4D321A"/>
    <w:rsid w:val="1DC069FF"/>
    <w:rsid w:val="1E0647C5"/>
    <w:rsid w:val="1E594F40"/>
    <w:rsid w:val="1E9C5C08"/>
    <w:rsid w:val="1E9C7E2C"/>
    <w:rsid w:val="1F2865C0"/>
    <w:rsid w:val="1F3A2363"/>
    <w:rsid w:val="206E3B79"/>
    <w:rsid w:val="21DA4BE3"/>
    <w:rsid w:val="222054EF"/>
    <w:rsid w:val="239562A1"/>
    <w:rsid w:val="24B146FC"/>
    <w:rsid w:val="25AD57C8"/>
    <w:rsid w:val="282D7729"/>
    <w:rsid w:val="2964687E"/>
    <w:rsid w:val="2A103C9A"/>
    <w:rsid w:val="2AA00633"/>
    <w:rsid w:val="2AD467E0"/>
    <w:rsid w:val="2B070D1D"/>
    <w:rsid w:val="2C713A0B"/>
    <w:rsid w:val="2CC869A7"/>
    <w:rsid w:val="2DBB1511"/>
    <w:rsid w:val="301004DF"/>
    <w:rsid w:val="30D15C05"/>
    <w:rsid w:val="323A14B6"/>
    <w:rsid w:val="324441EF"/>
    <w:rsid w:val="32DD3296"/>
    <w:rsid w:val="334E26C5"/>
    <w:rsid w:val="34FE6103"/>
    <w:rsid w:val="35753BC1"/>
    <w:rsid w:val="3610410E"/>
    <w:rsid w:val="36287C88"/>
    <w:rsid w:val="36573F49"/>
    <w:rsid w:val="36775035"/>
    <w:rsid w:val="382C2C04"/>
    <w:rsid w:val="388E518B"/>
    <w:rsid w:val="38F54A95"/>
    <w:rsid w:val="3A736200"/>
    <w:rsid w:val="3D1A1923"/>
    <w:rsid w:val="3DD2083D"/>
    <w:rsid w:val="3DE24ECE"/>
    <w:rsid w:val="3EBB451D"/>
    <w:rsid w:val="3FDC0765"/>
    <w:rsid w:val="40100FB7"/>
    <w:rsid w:val="40BE31BE"/>
    <w:rsid w:val="43D804F5"/>
    <w:rsid w:val="45852747"/>
    <w:rsid w:val="472A5524"/>
    <w:rsid w:val="48460AF3"/>
    <w:rsid w:val="49CD22F8"/>
    <w:rsid w:val="4A291B5E"/>
    <w:rsid w:val="4B363D10"/>
    <w:rsid w:val="4C102615"/>
    <w:rsid w:val="4CBC25B3"/>
    <w:rsid w:val="4CC435AC"/>
    <w:rsid w:val="4F275C53"/>
    <w:rsid w:val="4FCF3E3B"/>
    <w:rsid w:val="4FF85B81"/>
    <w:rsid w:val="50FC0243"/>
    <w:rsid w:val="51D2632D"/>
    <w:rsid w:val="51EE3FC8"/>
    <w:rsid w:val="531D6B81"/>
    <w:rsid w:val="551E5DAC"/>
    <w:rsid w:val="55A601B9"/>
    <w:rsid w:val="59C26CC1"/>
    <w:rsid w:val="59CE03DF"/>
    <w:rsid w:val="5B841BB9"/>
    <w:rsid w:val="5B8A6673"/>
    <w:rsid w:val="5C6D0CBC"/>
    <w:rsid w:val="5DDB65B3"/>
    <w:rsid w:val="5EF01C48"/>
    <w:rsid w:val="5FEC38AC"/>
    <w:rsid w:val="61665519"/>
    <w:rsid w:val="63285177"/>
    <w:rsid w:val="633A3919"/>
    <w:rsid w:val="63EE42D6"/>
    <w:rsid w:val="65600333"/>
    <w:rsid w:val="65B51777"/>
    <w:rsid w:val="65C14521"/>
    <w:rsid w:val="65E30D9F"/>
    <w:rsid w:val="6612022A"/>
    <w:rsid w:val="670F369D"/>
    <w:rsid w:val="67BD6662"/>
    <w:rsid w:val="68815A02"/>
    <w:rsid w:val="691B789F"/>
    <w:rsid w:val="6B5A3AB6"/>
    <w:rsid w:val="6B6967A0"/>
    <w:rsid w:val="6C796C26"/>
    <w:rsid w:val="6CD4312B"/>
    <w:rsid w:val="6D194788"/>
    <w:rsid w:val="6D751AF5"/>
    <w:rsid w:val="6E8044E1"/>
    <w:rsid w:val="718F1E6C"/>
    <w:rsid w:val="71BB770A"/>
    <w:rsid w:val="73222990"/>
    <w:rsid w:val="739E1179"/>
    <w:rsid w:val="74B65705"/>
    <w:rsid w:val="77512CB5"/>
    <w:rsid w:val="78FF2DE5"/>
    <w:rsid w:val="7D8C2A04"/>
    <w:rsid w:val="7EDD4574"/>
    <w:rsid w:val="7F2C062F"/>
    <w:rsid w:val="7F98766D"/>
    <w:rsid w:val="7FC1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方正仿宋简体" w:cs="Times New Roman"/>
      <w:kern w:val="2"/>
      <w:sz w:val="32"/>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b/>
      <w:kern w:val="44"/>
      <w:sz w:val="48"/>
      <w:szCs w:val="48"/>
    </w:rPr>
  </w:style>
  <w:style w:type="paragraph" w:styleId="2">
    <w:name w:val="heading 3"/>
    <w:basedOn w:val="1"/>
    <w:next w:val="1"/>
    <w:qFormat/>
    <w:uiPriority w:val="9"/>
    <w:pPr>
      <w:spacing w:line="600" w:lineRule="exact"/>
      <w:ind w:firstLine="640" w:firstLineChars="200"/>
      <w:outlineLvl w:val="2"/>
    </w:pPr>
    <w:rPr>
      <w:rFonts w:ascii="黑体" w:hAnsi="黑体" w:eastAsia="黑体"/>
      <w:color w:val="000000"/>
      <w:szCs w:val="32"/>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caption"/>
    <w:basedOn w:val="1"/>
    <w:next w:val="1"/>
    <w:unhideWhenUsed/>
    <w:qFormat/>
    <w:uiPriority w:val="35"/>
    <w:rPr>
      <w:rFonts w:ascii="等线 Light" w:hAnsi="等线 Light" w:eastAsia="黑体"/>
      <w:sz w:val="20"/>
      <w:szCs w:val="20"/>
    </w:rPr>
  </w:style>
  <w:style w:type="paragraph" w:styleId="5">
    <w:name w:val="Balloon Text"/>
    <w:basedOn w:val="1"/>
    <w:link w:val="24"/>
    <w:uiPriority w:val="0"/>
    <w:rPr>
      <w:sz w:val="18"/>
      <w:szCs w:val="18"/>
    </w:rPr>
  </w:style>
  <w:style w:type="paragraph" w:styleId="6">
    <w:name w:val="footer"/>
    <w:basedOn w:val="1"/>
    <w:link w:val="19"/>
    <w:qFormat/>
    <w:uiPriority w:val="99"/>
    <w:pPr>
      <w:tabs>
        <w:tab w:val="center" w:pos="4153"/>
        <w:tab w:val="right" w:pos="8306"/>
      </w:tabs>
      <w:snapToGrid w:val="0"/>
      <w:jc w:val="left"/>
    </w:pPr>
    <w:rPr>
      <w:sz w:val="18"/>
      <w:szCs w:val="18"/>
    </w:rPr>
  </w:style>
  <w:style w:type="paragraph" w:styleId="7">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pPr>
      <w:tabs>
        <w:tab w:val="right" w:leader="dot" w:pos="8789"/>
      </w:tabs>
      <w:spacing w:line="400" w:lineRule="exact"/>
    </w:pPr>
    <w:rPr>
      <w:rFonts w:ascii="Times New Roman" w:hAnsi="Times New Roman"/>
      <w:b/>
      <w:sz w:val="24"/>
    </w:rPr>
  </w:style>
  <w:style w:type="paragraph" w:styleId="9">
    <w:name w:val="Normal (Web)"/>
    <w:basedOn w:val="1"/>
    <w:qFormat/>
    <w:uiPriority w:val="99"/>
    <w:pPr>
      <w:widowControl/>
      <w:spacing w:before="100" w:beforeAutospacing="1" w:after="100" w:afterAutospacing="1" w:line="360" w:lineRule="auto"/>
      <w:ind w:firstLine="200" w:firstLineChars="200"/>
      <w:jc w:val="left"/>
    </w:pPr>
    <w:rPr>
      <w:rFonts w:ascii="宋体" w:hAnsi="宋体" w:eastAsia="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rPr>
  </w:style>
  <w:style w:type="character" w:styleId="14">
    <w:name w:val="FollowedHyperlink"/>
    <w:qFormat/>
    <w:uiPriority w:val="0"/>
    <w:rPr>
      <w:color w:val="800080"/>
      <w:u w:val="none"/>
    </w:rPr>
  </w:style>
  <w:style w:type="character" w:styleId="15">
    <w:name w:val="Hyperlink"/>
    <w:qFormat/>
    <w:uiPriority w:val="0"/>
    <w:rPr>
      <w:color w:val="0000FF"/>
      <w:u w:val="none"/>
    </w:rPr>
  </w:style>
  <w:style w:type="character" w:customStyle="1" w:styleId="16">
    <w:name w:val="NormalCharacter"/>
    <w:semiHidden/>
    <w:qFormat/>
    <w:uiPriority w:val="0"/>
    <w:rPr>
      <w:rFonts w:ascii="Calibri" w:hAnsi="Calibri" w:eastAsia="方正仿宋简体" w:cs="Times New Roman"/>
      <w:kern w:val="2"/>
      <w:sz w:val="32"/>
      <w:szCs w:val="24"/>
      <w:lang w:val="en-US" w:eastAsia="zh-CN" w:bidi="ar-SA"/>
    </w:rPr>
  </w:style>
  <w:style w:type="paragraph" w:customStyle="1" w:styleId="17">
    <w:name w:val="Heading3"/>
    <w:basedOn w:val="1"/>
    <w:next w:val="1"/>
    <w:qFormat/>
    <w:uiPriority w:val="0"/>
    <w:pPr>
      <w:spacing w:line="600" w:lineRule="exact"/>
      <w:ind w:firstLine="640" w:firstLineChars="200"/>
      <w:textAlignment w:val="baseline"/>
    </w:pPr>
    <w:rPr>
      <w:rFonts w:ascii="黑体" w:hAnsi="黑体" w:eastAsia="黑体"/>
      <w:color w:val="000000"/>
      <w:szCs w:val="32"/>
    </w:rPr>
  </w:style>
  <w:style w:type="character" w:customStyle="1" w:styleId="18">
    <w:name w:val="页眉 Char"/>
    <w:link w:val="7"/>
    <w:qFormat/>
    <w:uiPriority w:val="99"/>
    <w:rPr>
      <w:rFonts w:ascii="Calibri" w:hAnsi="Calibri" w:eastAsia="方正仿宋简体"/>
      <w:kern w:val="2"/>
      <w:sz w:val="18"/>
      <w:szCs w:val="18"/>
    </w:rPr>
  </w:style>
  <w:style w:type="character" w:customStyle="1" w:styleId="19">
    <w:name w:val="页脚 Char"/>
    <w:link w:val="6"/>
    <w:qFormat/>
    <w:uiPriority w:val="99"/>
    <w:rPr>
      <w:rFonts w:ascii="Calibri" w:hAnsi="Calibri" w:eastAsia="方正仿宋简体"/>
      <w:kern w:val="2"/>
      <w:sz w:val="18"/>
      <w:szCs w:val="18"/>
    </w:rPr>
  </w:style>
  <w:style w:type="character" w:customStyle="1" w:styleId="20">
    <w:name w:val="其他_"/>
    <w:link w:val="21"/>
    <w:qFormat/>
    <w:uiPriority w:val="0"/>
    <w:rPr>
      <w:rFonts w:ascii="宋体" w:hAnsi="宋体" w:cs="宋体"/>
      <w:lang w:val="zh-CN" w:bidi="zh-CN"/>
    </w:rPr>
  </w:style>
  <w:style w:type="paragraph" w:customStyle="1" w:styleId="21">
    <w:name w:val="其他"/>
    <w:basedOn w:val="1"/>
    <w:link w:val="20"/>
    <w:qFormat/>
    <w:uiPriority w:val="0"/>
    <w:pPr>
      <w:spacing w:line="360" w:lineRule="auto"/>
      <w:ind w:firstLine="200" w:firstLineChars="200"/>
      <w:jc w:val="center"/>
    </w:pPr>
    <w:rPr>
      <w:rFonts w:ascii="宋体" w:hAnsi="宋体" w:eastAsia="宋体" w:cs="宋体"/>
      <w:kern w:val="0"/>
      <w:sz w:val="20"/>
      <w:szCs w:val="20"/>
      <w:lang w:val="zh-CN" w:bidi="zh-CN"/>
    </w:rPr>
  </w:style>
  <w:style w:type="character" w:customStyle="1" w:styleId="22">
    <w:name w:val="hover21"/>
    <w:qFormat/>
    <w:uiPriority w:val="0"/>
    <w:rPr>
      <w:color w:val="557EE7"/>
    </w:rPr>
  </w:style>
  <w:style w:type="paragraph" w:styleId="23">
    <w:name w:val="List Paragraph"/>
    <w:basedOn w:val="1"/>
    <w:qFormat/>
    <w:uiPriority w:val="34"/>
    <w:pPr>
      <w:ind w:firstLine="420" w:firstLineChars="200"/>
    </w:pPr>
  </w:style>
  <w:style w:type="character" w:customStyle="1" w:styleId="24">
    <w:name w:val="批注框文本 Char"/>
    <w:link w:val="5"/>
    <w:qFormat/>
    <w:uiPriority w:val="0"/>
    <w:rPr>
      <w:rFonts w:ascii="Calibri" w:hAnsi="Calibri" w:eastAsia="方正仿宋简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25</Pages>
  <Words>13096</Words>
  <Characters>14079</Characters>
  <Lines>104</Lines>
  <Paragraphs>29</Paragraphs>
  <TotalTime>29</TotalTime>
  <ScaleCrop>false</ScaleCrop>
  <LinksUpToDate>false</LinksUpToDate>
  <CharactersWithSpaces>14140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2021-09-24T04:50:00Z</dcterms:created>
  <dc:creator>Administrator</dc:creator>
  <cp:lastModifiedBy>张梅是也</cp:lastModifiedBy>
  <dcterms:modified xsi:type="dcterms:W3CDTF">2023-04-03T03:20:58Z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239890B11A724B5486337A8DA17BA7C3</vt:lpwstr>
  </property>
  <property fmtid="{D5CDD505-2E9C-101B-9397-08002B2CF9AE}" pid="4" name="commondata">
    <vt:lpwstr>eyJoZGlkIjoiNzNiNTZmMzIzY2ZjMDg0NWM5ZmY4YzBlNTllYzFhNDIifQ==</vt:lpwstr>
  </property>
</Properties>
</file>